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page" w:horzAnchor="margin" w:tblpY="961"/>
        <w:tblW w:w="5395" w:type="pct"/>
        <w:tblLook w:val="01E0" w:firstRow="1" w:lastRow="1" w:firstColumn="1" w:lastColumn="1" w:noHBand="0" w:noVBand="0"/>
      </w:tblPr>
      <w:tblGrid>
        <w:gridCol w:w="4374"/>
        <w:gridCol w:w="1873"/>
        <w:gridCol w:w="3842"/>
      </w:tblGrid>
      <w:tr w:rsidR="00F53961" w:rsidRPr="00C20EAB" w:rsidTr="00D67BAB">
        <w:trPr>
          <w:trHeight w:val="1793"/>
        </w:trPr>
        <w:tc>
          <w:tcPr>
            <w:tcW w:w="2168" w:type="pct"/>
            <w:tcBorders>
              <w:top w:val="single" w:sz="4" w:space="0" w:color="FFFFFF"/>
              <w:left w:val="single" w:sz="4" w:space="0" w:color="FFFFFF"/>
              <w:bottom w:val="single" w:sz="4" w:space="0" w:color="FFFFFF"/>
              <w:right w:val="single" w:sz="4" w:space="0" w:color="FFFFFF"/>
            </w:tcBorders>
            <w:hideMark/>
          </w:tcPr>
          <w:p w:rsidR="00F53961" w:rsidRPr="00C20EAB" w:rsidRDefault="00F53961" w:rsidP="00D67BAB">
            <w:pPr>
              <w:tabs>
                <w:tab w:val="center" w:pos="1782"/>
                <w:tab w:val="right" w:pos="3564"/>
              </w:tabs>
              <w:spacing w:after="160" w:line="256" w:lineRule="auto"/>
              <w:rPr>
                <w:b/>
                <w:bCs/>
                <w:color w:val="0000FF"/>
                <w:szCs w:val="22"/>
              </w:rPr>
            </w:pPr>
            <w:r w:rsidRPr="00C20EAB">
              <w:tab/>
            </w:r>
            <w:r w:rsidRPr="00C20EAB">
              <w:rPr>
                <w:noProof/>
                <w:lang w:val="en-US" w:eastAsia="en-US"/>
              </w:rPr>
              <w:drawing>
                <wp:inline distT="0" distB="0" distL="0" distR="0" wp14:anchorId="79517ADF" wp14:editId="45E3A3D0">
                  <wp:extent cx="1009650" cy="1009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r w:rsidRPr="00C20EAB">
              <w:tab/>
            </w:r>
          </w:p>
        </w:tc>
        <w:tc>
          <w:tcPr>
            <w:tcW w:w="928" w:type="pct"/>
            <w:tcBorders>
              <w:top w:val="single" w:sz="4" w:space="0" w:color="FFFFFF"/>
              <w:left w:val="single" w:sz="4" w:space="0" w:color="FFFFFF"/>
              <w:bottom w:val="single" w:sz="4" w:space="0" w:color="FFFFFF"/>
              <w:right w:val="single" w:sz="4" w:space="0" w:color="FFFFFF"/>
            </w:tcBorders>
          </w:tcPr>
          <w:p w:rsidR="00F53961" w:rsidRPr="00C20EAB" w:rsidRDefault="00F53961" w:rsidP="00D67BAB">
            <w:pPr>
              <w:spacing w:after="160" w:line="360" w:lineRule="auto"/>
              <w:jc w:val="both"/>
              <w:rPr>
                <w:b/>
                <w:bCs/>
                <w:color w:val="0000FF"/>
                <w:szCs w:val="22"/>
              </w:rPr>
            </w:pPr>
          </w:p>
        </w:tc>
        <w:tc>
          <w:tcPr>
            <w:tcW w:w="1904" w:type="pct"/>
            <w:tcBorders>
              <w:top w:val="single" w:sz="4" w:space="0" w:color="FFFFFF"/>
              <w:left w:val="single" w:sz="4" w:space="0" w:color="FFFFFF"/>
              <w:bottom w:val="single" w:sz="4" w:space="0" w:color="FFFFFF"/>
              <w:right w:val="single" w:sz="4" w:space="0" w:color="FFFFFF"/>
            </w:tcBorders>
            <w:hideMark/>
          </w:tcPr>
          <w:p w:rsidR="00F53961" w:rsidRPr="00C20EAB" w:rsidRDefault="00F53961" w:rsidP="00D67BAB">
            <w:pPr>
              <w:spacing w:after="160" w:line="360" w:lineRule="auto"/>
              <w:jc w:val="center"/>
              <w:rPr>
                <w:b/>
                <w:bCs/>
                <w:color w:val="0000FF"/>
                <w:szCs w:val="22"/>
              </w:rPr>
            </w:pPr>
            <w:r>
              <w:rPr>
                <w:b/>
                <w:bCs/>
                <w:color w:val="0000FF"/>
                <w:szCs w:val="22"/>
              </w:rPr>
              <w:t xml:space="preserve">                                            </w:t>
            </w:r>
            <w:r w:rsidRPr="00C20EAB">
              <w:rPr>
                <w:noProof/>
                <w:lang w:val="en-US" w:eastAsia="en-US"/>
              </w:rPr>
              <w:drawing>
                <wp:inline distT="0" distB="0" distL="0" distR="0" wp14:anchorId="4910447E" wp14:editId="10207F20">
                  <wp:extent cx="980440" cy="1060450"/>
                  <wp:effectExtent l="0" t="0" r="0" b="6350"/>
                  <wp:docPr id="6" name="Picture 6" descr="Description: XXX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XXXX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0440" cy="1060450"/>
                          </a:xfrm>
                          <a:prstGeom prst="rect">
                            <a:avLst/>
                          </a:prstGeom>
                          <a:noFill/>
                          <a:ln>
                            <a:noFill/>
                          </a:ln>
                        </pic:spPr>
                      </pic:pic>
                    </a:graphicData>
                  </a:graphic>
                </wp:inline>
              </w:drawing>
            </w:r>
          </w:p>
        </w:tc>
      </w:tr>
      <w:tr w:rsidR="00F53961" w:rsidRPr="00C20EAB" w:rsidTr="00D67BAB">
        <w:trPr>
          <w:trHeight w:val="153"/>
        </w:trPr>
        <w:tc>
          <w:tcPr>
            <w:tcW w:w="2168" w:type="pct"/>
            <w:tcBorders>
              <w:top w:val="single" w:sz="4" w:space="0" w:color="FFFFFF"/>
              <w:left w:val="single" w:sz="4" w:space="0" w:color="FFFFFF"/>
              <w:bottom w:val="single" w:sz="4" w:space="0" w:color="FFFFFF"/>
              <w:right w:val="single" w:sz="4" w:space="0" w:color="FFFFFF"/>
            </w:tcBorders>
            <w:hideMark/>
          </w:tcPr>
          <w:p w:rsidR="00F53961" w:rsidRPr="00B23828" w:rsidRDefault="00F53961" w:rsidP="00D67BAB">
            <w:pPr>
              <w:rPr>
                <w:b/>
                <w:bCs/>
                <w:color w:val="0000FF"/>
                <w:szCs w:val="22"/>
              </w:rPr>
            </w:pPr>
            <w:r w:rsidRPr="00B23828">
              <w:rPr>
                <w:b/>
                <w:bCs/>
                <w:color w:val="0000FF"/>
              </w:rPr>
              <w:t>Republika e Kosovës</w:t>
            </w:r>
          </w:p>
        </w:tc>
        <w:tc>
          <w:tcPr>
            <w:tcW w:w="928" w:type="pct"/>
            <w:tcBorders>
              <w:top w:val="single" w:sz="4" w:space="0" w:color="FFFFFF"/>
              <w:left w:val="single" w:sz="4" w:space="0" w:color="FFFFFF"/>
              <w:bottom w:val="single" w:sz="4" w:space="0" w:color="FFFFFF"/>
              <w:right w:val="single" w:sz="4" w:space="0" w:color="FFFFFF"/>
            </w:tcBorders>
          </w:tcPr>
          <w:p w:rsidR="00F53961" w:rsidRPr="00C20EAB" w:rsidRDefault="00F53961" w:rsidP="00D67BAB">
            <w:pPr>
              <w:jc w:val="center"/>
              <w:rPr>
                <w:b/>
                <w:bCs/>
                <w:szCs w:val="22"/>
              </w:rPr>
            </w:pPr>
          </w:p>
        </w:tc>
        <w:tc>
          <w:tcPr>
            <w:tcW w:w="1904" w:type="pct"/>
            <w:tcBorders>
              <w:top w:val="single" w:sz="4" w:space="0" w:color="FFFFFF"/>
              <w:left w:val="single" w:sz="4" w:space="0" w:color="FFFFFF"/>
              <w:bottom w:val="single" w:sz="4" w:space="0" w:color="FFFFFF"/>
              <w:right w:val="single" w:sz="4" w:space="0" w:color="FFFFFF"/>
            </w:tcBorders>
            <w:hideMark/>
          </w:tcPr>
          <w:p w:rsidR="00F53961" w:rsidRPr="00B23828" w:rsidRDefault="00F53961" w:rsidP="00D67BAB">
            <w:pPr>
              <w:jc w:val="right"/>
              <w:rPr>
                <w:b/>
                <w:bCs/>
                <w:color w:val="0000FF"/>
                <w:szCs w:val="22"/>
              </w:rPr>
            </w:pPr>
            <w:r w:rsidRPr="00B23828">
              <w:rPr>
                <w:b/>
                <w:bCs/>
                <w:color w:val="0000FF"/>
              </w:rPr>
              <w:t>Komuna e Prizrenit</w:t>
            </w:r>
          </w:p>
        </w:tc>
      </w:tr>
      <w:tr w:rsidR="00F53961" w:rsidRPr="00C20EAB" w:rsidTr="00D67BAB">
        <w:trPr>
          <w:trHeight w:val="46"/>
        </w:trPr>
        <w:tc>
          <w:tcPr>
            <w:tcW w:w="2168" w:type="pct"/>
            <w:tcBorders>
              <w:top w:val="single" w:sz="4" w:space="0" w:color="FFFFFF"/>
              <w:left w:val="single" w:sz="4" w:space="0" w:color="FFFFFF"/>
              <w:bottom w:val="single" w:sz="4" w:space="0" w:color="FFFFFF"/>
              <w:right w:val="single" w:sz="4" w:space="0" w:color="FFFFFF"/>
            </w:tcBorders>
            <w:hideMark/>
          </w:tcPr>
          <w:p w:rsidR="00F53961" w:rsidRPr="00B23828" w:rsidRDefault="00F53961" w:rsidP="00D67BAB">
            <w:pPr>
              <w:rPr>
                <w:b/>
                <w:bCs/>
                <w:color w:val="0000FF"/>
                <w:szCs w:val="22"/>
              </w:rPr>
            </w:pPr>
            <w:r w:rsidRPr="00B23828">
              <w:rPr>
                <w:b/>
                <w:bCs/>
                <w:color w:val="0000FF"/>
                <w:szCs w:val="20"/>
              </w:rPr>
              <w:t>Republika Kosova - Kosova Cumhuriyeti</w:t>
            </w:r>
          </w:p>
        </w:tc>
        <w:tc>
          <w:tcPr>
            <w:tcW w:w="928" w:type="pct"/>
            <w:tcBorders>
              <w:top w:val="single" w:sz="4" w:space="0" w:color="FFFFFF"/>
              <w:left w:val="single" w:sz="4" w:space="0" w:color="FFFFFF"/>
              <w:bottom w:val="single" w:sz="4" w:space="0" w:color="FFFFFF"/>
              <w:right w:val="single" w:sz="4" w:space="0" w:color="FFFFFF"/>
            </w:tcBorders>
          </w:tcPr>
          <w:p w:rsidR="00F53961" w:rsidRPr="00C20EAB" w:rsidRDefault="00F53961" w:rsidP="00D67BAB">
            <w:pPr>
              <w:jc w:val="center"/>
              <w:rPr>
                <w:b/>
                <w:bCs/>
                <w:szCs w:val="22"/>
              </w:rPr>
            </w:pPr>
          </w:p>
        </w:tc>
        <w:tc>
          <w:tcPr>
            <w:tcW w:w="1904" w:type="pct"/>
            <w:tcBorders>
              <w:top w:val="single" w:sz="4" w:space="0" w:color="FFFFFF"/>
              <w:left w:val="single" w:sz="4" w:space="0" w:color="FFFFFF"/>
              <w:bottom w:val="single" w:sz="4" w:space="0" w:color="FFFFFF"/>
              <w:right w:val="single" w:sz="4" w:space="0" w:color="FFFFFF"/>
            </w:tcBorders>
            <w:hideMark/>
          </w:tcPr>
          <w:p w:rsidR="00F53961" w:rsidRPr="00B23828" w:rsidRDefault="00F53961" w:rsidP="00D67BAB">
            <w:pPr>
              <w:jc w:val="right"/>
              <w:rPr>
                <w:b/>
                <w:bCs/>
                <w:color w:val="0000FF"/>
                <w:szCs w:val="22"/>
              </w:rPr>
            </w:pPr>
            <w:r w:rsidRPr="00B23828">
              <w:rPr>
                <w:b/>
                <w:color w:val="0000FF"/>
                <w:szCs w:val="20"/>
              </w:rPr>
              <w:t>Opština Prizren – Prizren Belediyesi</w:t>
            </w:r>
          </w:p>
        </w:tc>
      </w:tr>
    </w:tbl>
    <w:p w:rsidR="00F53961" w:rsidRPr="00C20EAB" w:rsidRDefault="00F53961" w:rsidP="00F53961"/>
    <w:p w:rsidR="00F53961" w:rsidRPr="00C20EAB" w:rsidRDefault="00F53961" w:rsidP="00F53961">
      <w:pPr>
        <w:rPr>
          <w:sz w:val="20"/>
          <w:szCs w:val="20"/>
        </w:rPr>
      </w:pPr>
    </w:p>
    <w:p w:rsidR="00F53961" w:rsidRPr="00C20EAB" w:rsidRDefault="00F53961" w:rsidP="00F53961">
      <w:pPr>
        <w:pStyle w:val="NoSpacing"/>
        <w:rPr>
          <w:lang w:val="sq-AL"/>
        </w:rPr>
      </w:pPr>
    </w:p>
    <w:p w:rsidR="00F53961" w:rsidRPr="00C20EAB" w:rsidRDefault="00F53961" w:rsidP="00F53961">
      <w:pPr>
        <w:jc w:val="right"/>
      </w:pPr>
    </w:p>
    <w:p w:rsidR="00F53961" w:rsidRPr="00C20EAB" w:rsidRDefault="00F53961" w:rsidP="00F53961">
      <w:pPr>
        <w:tabs>
          <w:tab w:val="left" w:pos="360"/>
        </w:tabs>
        <w:jc w:val="right"/>
      </w:pPr>
    </w:p>
    <w:p w:rsidR="00F53961" w:rsidRPr="00C20EAB" w:rsidRDefault="00F53961" w:rsidP="00F53961">
      <w:pPr>
        <w:tabs>
          <w:tab w:val="left" w:pos="360"/>
        </w:tabs>
        <w:jc w:val="right"/>
      </w:pPr>
    </w:p>
    <w:p w:rsidR="00F53961" w:rsidRDefault="00F53961" w:rsidP="00F53961">
      <w:pPr>
        <w:jc w:val="center"/>
        <w:rPr>
          <w:b/>
          <w:sz w:val="32"/>
          <w:szCs w:val="32"/>
        </w:rPr>
      </w:pPr>
    </w:p>
    <w:p w:rsidR="00F53961" w:rsidRDefault="00F53961" w:rsidP="00F53961">
      <w:pPr>
        <w:jc w:val="center"/>
        <w:rPr>
          <w:b/>
          <w:sz w:val="32"/>
          <w:szCs w:val="32"/>
        </w:rPr>
      </w:pPr>
    </w:p>
    <w:p w:rsidR="00F53961" w:rsidRDefault="00F53961" w:rsidP="00F53961">
      <w:pPr>
        <w:jc w:val="center"/>
        <w:rPr>
          <w:b/>
          <w:sz w:val="32"/>
          <w:szCs w:val="32"/>
        </w:rPr>
      </w:pPr>
    </w:p>
    <w:p w:rsidR="00F53961" w:rsidRDefault="00F53961" w:rsidP="00F53961">
      <w:pPr>
        <w:jc w:val="center"/>
        <w:rPr>
          <w:b/>
          <w:sz w:val="32"/>
          <w:szCs w:val="32"/>
        </w:rPr>
      </w:pPr>
    </w:p>
    <w:p w:rsidR="00F53961" w:rsidRDefault="00F53961" w:rsidP="00F53961">
      <w:pPr>
        <w:jc w:val="center"/>
        <w:rPr>
          <w:b/>
          <w:sz w:val="32"/>
          <w:szCs w:val="32"/>
        </w:rPr>
      </w:pPr>
    </w:p>
    <w:p w:rsidR="00F53961" w:rsidRDefault="00F53961" w:rsidP="00F53961">
      <w:pPr>
        <w:jc w:val="center"/>
        <w:rPr>
          <w:b/>
          <w:sz w:val="32"/>
          <w:szCs w:val="32"/>
        </w:rPr>
      </w:pPr>
      <w:r>
        <w:rPr>
          <w:b/>
          <w:sz w:val="32"/>
          <w:szCs w:val="32"/>
        </w:rPr>
        <w:t>Raporti i punës së Njësisë për Komunikim me Publikun për periudhën Janar-Qershor 2025</w:t>
      </w:r>
    </w:p>
    <w:p w:rsidR="00F53961" w:rsidRDefault="00F53961" w:rsidP="00F53961">
      <w:pPr>
        <w:jc w:val="center"/>
        <w:rPr>
          <w:b/>
        </w:rPr>
      </w:pPr>
    </w:p>
    <w:p w:rsidR="00F53961" w:rsidRDefault="00F53961" w:rsidP="00F53961">
      <w:pPr>
        <w:jc w:val="center"/>
        <w:rPr>
          <w:b/>
        </w:rPr>
      </w:pPr>
    </w:p>
    <w:p w:rsidR="00F53961" w:rsidRDefault="00F53961" w:rsidP="00F53961">
      <w:pPr>
        <w:jc w:val="center"/>
        <w:rPr>
          <w:b/>
        </w:rPr>
      </w:pPr>
    </w:p>
    <w:p w:rsidR="00F53961" w:rsidRDefault="00F53961" w:rsidP="00F53961">
      <w:pPr>
        <w:rPr>
          <w:b/>
        </w:rPr>
      </w:pPr>
    </w:p>
    <w:p w:rsidR="00F53961" w:rsidRDefault="00F53961" w:rsidP="00F53961">
      <w:pPr>
        <w:rPr>
          <w:b/>
        </w:rPr>
      </w:pPr>
    </w:p>
    <w:p w:rsidR="00F53961" w:rsidRDefault="00F53961" w:rsidP="00F53961">
      <w:pPr>
        <w:rPr>
          <w:b/>
        </w:rPr>
      </w:pPr>
    </w:p>
    <w:p w:rsidR="00F53961" w:rsidRDefault="00F53961" w:rsidP="00F53961">
      <w:pPr>
        <w:rPr>
          <w:b/>
        </w:rPr>
      </w:pPr>
    </w:p>
    <w:p w:rsidR="00F53961" w:rsidRDefault="00F53961" w:rsidP="00F53961">
      <w:pPr>
        <w:rPr>
          <w:b/>
        </w:rPr>
      </w:pPr>
    </w:p>
    <w:p w:rsidR="00DD6C38" w:rsidRDefault="00DD6C38" w:rsidP="00F53961">
      <w:pPr>
        <w:rPr>
          <w:b/>
        </w:rPr>
      </w:pPr>
    </w:p>
    <w:p w:rsidR="00DD6C38" w:rsidRDefault="00DD6C38" w:rsidP="00F53961">
      <w:pPr>
        <w:rPr>
          <w:b/>
        </w:rPr>
      </w:pPr>
    </w:p>
    <w:p w:rsidR="00DD6C38" w:rsidRDefault="00DD6C38" w:rsidP="00F53961">
      <w:pPr>
        <w:rPr>
          <w:b/>
        </w:rPr>
      </w:pPr>
    </w:p>
    <w:p w:rsidR="00DD6C38" w:rsidRDefault="00DD6C38" w:rsidP="00F53961">
      <w:pPr>
        <w:rPr>
          <w:b/>
        </w:rPr>
      </w:pPr>
    </w:p>
    <w:p w:rsidR="00DD6C38" w:rsidRDefault="00DD6C38" w:rsidP="00F53961">
      <w:pPr>
        <w:rPr>
          <w:b/>
        </w:rPr>
      </w:pPr>
    </w:p>
    <w:p w:rsidR="00DD6C38" w:rsidRDefault="00DD6C38" w:rsidP="00F53961">
      <w:pPr>
        <w:rPr>
          <w:b/>
        </w:rPr>
      </w:pPr>
    </w:p>
    <w:p w:rsidR="00DD6C38" w:rsidRDefault="00DD6C38" w:rsidP="00F53961">
      <w:pPr>
        <w:rPr>
          <w:b/>
        </w:rPr>
      </w:pPr>
    </w:p>
    <w:p w:rsidR="00DD6C38" w:rsidRDefault="00DD6C38" w:rsidP="00F53961">
      <w:pPr>
        <w:rPr>
          <w:b/>
        </w:rPr>
      </w:pPr>
    </w:p>
    <w:p w:rsidR="00DD6C38" w:rsidRDefault="00DD6C38" w:rsidP="00F53961">
      <w:pPr>
        <w:rPr>
          <w:b/>
        </w:rPr>
      </w:pPr>
    </w:p>
    <w:p w:rsidR="00DD6C38" w:rsidRDefault="00DD6C38" w:rsidP="00F53961">
      <w:pPr>
        <w:rPr>
          <w:b/>
        </w:rPr>
      </w:pPr>
    </w:p>
    <w:p w:rsidR="00DD6C38" w:rsidRDefault="00DD6C38" w:rsidP="00F53961">
      <w:pPr>
        <w:rPr>
          <w:b/>
        </w:rPr>
      </w:pPr>
    </w:p>
    <w:p w:rsidR="00DD6C38" w:rsidRDefault="00DD6C38" w:rsidP="00F53961">
      <w:pPr>
        <w:rPr>
          <w:b/>
        </w:rPr>
      </w:pPr>
    </w:p>
    <w:p w:rsidR="00DD6C38" w:rsidRDefault="00DD6C38" w:rsidP="00F53961">
      <w:pPr>
        <w:rPr>
          <w:b/>
        </w:rPr>
      </w:pPr>
    </w:p>
    <w:p w:rsidR="005F4596" w:rsidRDefault="005F4596" w:rsidP="00B84B68">
      <w:pPr>
        <w:spacing w:line="360" w:lineRule="auto"/>
        <w:jc w:val="both"/>
      </w:pPr>
      <w:r>
        <w:lastRenderedPageBreak/>
        <w:t>Njësia për Komunikim me Publikun, gjatë  muajve janar-qershor 2025 ka ruajtur me kujdes të shtuar profesionalizmin, etikën dhe integritetin në informimin e publikut dhe zbardhjen e të gjitha dokumenteve që ka hartuar kryetari i Komunës, Kuvendi i Komunës dhe të gjitha zyrat tjera administrative.</w:t>
      </w:r>
    </w:p>
    <w:p w:rsidR="005F4596" w:rsidRDefault="005F4596" w:rsidP="00B84B68">
      <w:pPr>
        <w:spacing w:line="360" w:lineRule="auto"/>
        <w:jc w:val="both"/>
      </w:pPr>
    </w:p>
    <w:p w:rsidR="005F4596" w:rsidRDefault="005F4596" w:rsidP="00B84B68">
      <w:pPr>
        <w:spacing w:line="360" w:lineRule="auto"/>
        <w:jc w:val="both"/>
      </w:pPr>
      <w:r>
        <w:t>Njoftimet, thirrjet, vendimet dhe dokumentet tjera janë lekturuar dhe përkthyer në të gjitha gjuhet zyrtare të komunës sonë (shqip, boshnjakisht, turqisht dhe romisht), brenda afateve ligjore janë publikuar në webfaqen zyrtare të komunës dhe platëformat tjera sociale.</w:t>
      </w:r>
    </w:p>
    <w:p w:rsidR="005F4596" w:rsidRDefault="005F4596" w:rsidP="00B84B68">
      <w:pPr>
        <w:spacing w:line="360" w:lineRule="auto"/>
        <w:jc w:val="both"/>
      </w:pPr>
    </w:p>
    <w:p w:rsidR="005F4596" w:rsidRDefault="005F4596" w:rsidP="00B84B68">
      <w:pPr>
        <w:spacing w:line="360" w:lineRule="auto"/>
        <w:jc w:val="both"/>
      </w:pPr>
      <w:r>
        <w:t>Gjithashtu Njësia për Komunikim me Publikun ka bartur o</w:t>
      </w:r>
      <w:r w:rsidR="00C8031A">
        <w:t>rganizimin profesional e ligjor</w:t>
      </w:r>
      <w:r>
        <w:t xml:space="preserve"> të konsultimeve publike për dokumentet e hartuara nga kryetari i komunës, kuvendi dhe të gjitha drejtoritë komu</w:t>
      </w:r>
      <w:r w:rsidR="0040748A">
        <w:t>nale. Po</w:t>
      </w:r>
      <w:r w:rsidR="00EC124B">
        <w:t xml:space="preserve"> </w:t>
      </w:r>
      <w:r w:rsidR="0040748A">
        <w:t>ashtu, kemi organizuar 7</w:t>
      </w:r>
      <w:r>
        <w:t xml:space="preserve"> takime publike me qytetarë në lokalitete të ndryshme për Buxhetim me Pjesëmarrje për vitin 2026.</w:t>
      </w:r>
    </w:p>
    <w:p w:rsidR="005F4596" w:rsidRDefault="005F4596" w:rsidP="00B84B68">
      <w:pPr>
        <w:spacing w:line="360" w:lineRule="auto"/>
        <w:jc w:val="both"/>
      </w:pPr>
    </w:p>
    <w:p w:rsidR="005F4596" w:rsidRDefault="005F4596" w:rsidP="00B84B68">
      <w:pPr>
        <w:spacing w:line="360" w:lineRule="auto"/>
        <w:jc w:val="both"/>
      </w:pPr>
      <w:r>
        <w:t xml:space="preserve">Ministria e Administrimit të Pushtetit Lokal (MAPL), Unioni Evropian, Suedia dhe Zvicra si sponzorues të grandit të performancës për komunat që kanë treguar rezultate të larta në vendimmarrje, respektimin e afateve ligjore dhe respektimin e procedurave administrative, në muajin janar të këtij viti e njoftojnë komunën e Prizrenit se është përfituese e grandit në vlerë 2 milion e 47 mijë euro. </w:t>
      </w:r>
    </w:p>
    <w:p w:rsidR="005F4596" w:rsidRDefault="005F4596" w:rsidP="00B84B68">
      <w:pPr>
        <w:spacing w:line="360" w:lineRule="auto"/>
        <w:jc w:val="both"/>
      </w:pPr>
    </w:p>
    <w:p w:rsidR="005F4596" w:rsidRDefault="005F4596" w:rsidP="00B84B68">
      <w:pPr>
        <w:spacing w:line="360" w:lineRule="auto"/>
        <w:jc w:val="both"/>
      </w:pPr>
      <w:r>
        <w:t>Instituti Demokratik i Kosovës-KDI, në muajin prill ka publikuar Transparometrin për të gji</w:t>
      </w:r>
      <w:r w:rsidR="00EC124B">
        <w:t>tha komunat e Kosovës në fushat</w:t>
      </w:r>
      <w:r>
        <w:t>: transparencë dhe llogaridhënie. Komuna jonë është ranguar e para nga komunat e mëdha dhe është vlerësuar se ka përmbushur të gjithë indikatorët në lartësinë 98.96 përqind.</w:t>
      </w:r>
    </w:p>
    <w:p w:rsidR="005F4596" w:rsidRDefault="005F4596" w:rsidP="00B84B68">
      <w:pPr>
        <w:spacing w:line="360" w:lineRule="auto"/>
        <w:jc w:val="both"/>
      </w:pPr>
    </w:p>
    <w:p w:rsidR="005F4596" w:rsidRDefault="005F4596" w:rsidP="00B84B68">
      <w:pPr>
        <w:spacing w:line="360" w:lineRule="auto"/>
        <w:jc w:val="both"/>
      </w:pPr>
      <w:r>
        <w:t xml:space="preserve">Njësia për Komunikim me Publikun, gjatë periudhës raportuese janar-qershor 2025, ka pranuar </w:t>
      </w:r>
      <w:r w:rsidR="002F203B">
        <w:t xml:space="preserve">75 </w:t>
      </w:r>
      <w:r>
        <w:t>kërkesa për qasje në dokumente publike. Të gjitha kërkesat janë shqyrtuar në afat ligjor dhe dokumentet e kërkuara u janë ofruar palëve kërkuese.</w:t>
      </w:r>
    </w:p>
    <w:p w:rsidR="00C57CDB" w:rsidRDefault="00C57CDB" w:rsidP="00F53961"/>
    <w:p w:rsidR="00B84B68" w:rsidRDefault="00B84B68" w:rsidP="00F53961">
      <w:pPr>
        <w:rPr>
          <w:b/>
        </w:rPr>
      </w:pPr>
    </w:p>
    <w:p w:rsidR="003D5807" w:rsidRDefault="003D5807" w:rsidP="00F53961">
      <w:pPr>
        <w:rPr>
          <w:b/>
        </w:rPr>
      </w:pPr>
    </w:p>
    <w:p w:rsidR="005F4596" w:rsidRDefault="005F4596" w:rsidP="00F53961">
      <w:pPr>
        <w:rPr>
          <w:b/>
        </w:rPr>
      </w:pPr>
    </w:p>
    <w:p w:rsidR="00F53961" w:rsidRPr="009565D6" w:rsidRDefault="00F53961" w:rsidP="008456E2">
      <w:pPr>
        <w:shd w:val="clear" w:color="auto" w:fill="002060"/>
        <w:spacing w:line="276" w:lineRule="auto"/>
        <w:rPr>
          <w:b/>
          <w:sz w:val="32"/>
          <w:szCs w:val="32"/>
        </w:rPr>
      </w:pPr>
      <w:r w:rsidRPr="009565D6">
        <w:rPr>
          <w:b/>
          <w:sz w:val="32"/>
          <w:szCs w:val="32"/>
        </w:rPr>
        <w:lastRenderedPageBreak/>
        <w:t>Të dhëna për Konsultime Publike:</w:t>
      </w:r>
    </w:p>
    <w:p w:rsidR="00F53961" w:rsidRDefault="00F53961" w:rsidP="003D5807">
      <w:pPr>
        <w:spacing w:line="276" w:lineRule="auto"/>
        <w:rPr>
          <w:b/>
        </w:rPr>
      </w:pPr>
    </w:p>
    <w:p w:rsidR="00210907" w:rsidRDefault="00F53961" w:rsidP="003D5807">
      <w:pPr>
        <w:spacing w:line="276" w:lineRule="auto"/>
        <w:jc w:val="both"/>
      </w:pPr>
      <w:r>
        <w:t>Publikimi i me kohë i planit për organizimin e konsultimeve publike të planifikuara</w:t>
      </w:r>
      <w:r w:rsidR="006A3BD0">
        <w:t xml:space="preserve"> që do</w:t>
      </w:r>
      <w:r>
        <w:t xml:space="preserve"> të mbahen gjatë vitit 2025:</w:t>
      </w:r>
      <w:r w:rsidRPr="00F53961">
        <w:t xml:space="preserve"> </w:t>
      </w:r>
    </w:p>
    <w:p w:rsidR="009565D6" w:rsidRDefault="009565D6" w:rsidP="003D5807">
      <w:pPr>
        <w:spacing w:line="276" w:lineRule="auto"/>
        <w:jc w:val="both"/>
      </w:pPr>
    </w:p>
    <w:p w:rsidR="00210907" w:rsidRDefault="00447ADF" w:rsidP="003D5807">
      <w:pPr>
        <w:spacing w:line="276" w:lineRule="auto"/>
        <w:jc w:val="both"/>
      </w:pPr>
      <w:hyperlink r:id="rId9" w:history="1">
        <w:r w:rsidR="00FD260A" w:rsidRPr="00FD260A">
          <w:rPr>
            <w:rStyle w:val="Hyperlink"/>
            <w:color w:val="0000FF"/>
          </w:rPr>
          <w:t>https://prizren.rks-gov.net/wp-content/uploads/2025/01/Plani-i-konsultimeve-publike-me-qytetare-per-vitin-2025-PDF-SCAN.pdf</w:t>
        </w:r>
      </w:hyperlink>
      <w:r w:rsidR="00FD260A" w:rsidRPr="00FD260A">
        <w:rPr>
          <w:color w:val="0000FF"/>
        </w:rPr>
        <w:t xml:space="preserve"> </w:t>
      </w:r>
      <w:r w:rsidR="006A3BD0">
        <w:t xml:space="preserve">. </w:t>
      </w:r>
    </w:p>
    <w:p w:rsidR="008E35B3" w:rsidRDefault="006A3BD0" w:rsidP="003D5807">
      <w:pPr>
        <w:spacing w:line="276" w:lineRule="auto"/>
        <w:jc w:val="both"/>
      </w:pPr>
      <w:r>
        <w:t>Komuna jonë ka planifikuar të mbajë</w:t>
      </w:r>
      <w:r w:rsidR="00FD260A" w:rsidRPr="00FD260A">
        <w:t xml:space="preserve"> 15 konsultime publike</w:t>
      </w:r>
      <w:r>
        <w:t>,</w:t>
      </w:r>
      <w:r w:rsidR="00FD260A" w:rsidRPr="00FD260A">
        <w:t xml:space="preserve"> deri në këtë periudhë të raportimit janë mbajtur: </w:t>
      </w:r>
    </w:p>
    <w:p w:rsidR="00466583" w:rsidRDefault="00466583" w:rsidP="003D5807">
      <w:pPr>
        <w:spacing w:line="276" w:lineRule="auto"/>
      </w:pPr>
    </w:p>
    <w:p w:rsidR="00466583" w:rsidRDefault="00466583" w:rsidP="003D5807">
      <w:pPr>
        <w:spacing w:line="276" w:lineRule="auto"/>
        <w:jc w:val="both"/>
        <w:rPr>
          <w:b/>
        </w:rPr>
      </w:pPr>
      <w:r w:rsidRPr="00DA2997">
        <w:rPr>
          <w:b/>
        </w:rPr>
        <w:t>Tabelori me emra dhe statistika për Konsultimet Publike:</w:t>
      </w:r>
    </w:p>
    <w:p w:rsidR="00E644A6" w:rsidRPr="003D5807" w:rsidRDefault="00E644A6" w:rsidP="003D5807">
      <w:pPr>
        <w:spacing w:line="276" w:lineRule="auto"/>
        <w:jc w:val="both"/>
        <w:rPr>
          <w:b/>
        </w:rPr>
      </w:pPr>
    </w:p>
    <w:tbl>
      <w:tblPr>
        <w:tblStyle w:val="TableGrid"/>
        <w:tblW w:w="11520" w:type="dxa"/>
        <w:tblInd w:w="-1085" w:type="dxa"/>
        <w:tblLook w:val="04A0" w:firstRow="1" w:lastRow="0" w:firstColumn="1" w:lastColumn="0" w:noHBand="0" w:noVBand="1"/>
      </w:tblPr>
      <w:tblGrid>
        <w:gridCol w:w="7297"/>
        <w:gridCol w:w="1703"/>
        <w:gridCol w:w="1150"/>
        <w:gridCol w:w="1370"/>
      </w:tblGrid>
      <w:tr w:rsidR="00B84B68" w:rsidRPr="004328C5" w:rsidTr="00B84B68">
        <w:tc>
          <w:tcPr>
            <w:tcW w:w="7379" w:type="dxa"/>
            <w:shd w:val="clear" w:color="auto" w:fill="002060"/>
          </w:tcPr>
          <w:p w:rsidR="00466583" w:rsidRPr="004328C5" w:rsidRDefault="00466583" w:rsidP="00005E27">
            <w:pPr>
              <w:spacing w:line="360" w:lineRule="auto"/>
            </w:pPr>
            <w:r w:rsidRPr="004328C5">
              <w:t>Emri i Konsultimit Publik</w:t>
            </w:r>
          </w:p>
        </w:tc>
        <w:tc>
          <w:tcPr>
            <w:tcW w:w="1703" w:type="dxa"/>
            <w:shd w:val="clear" w:color="auto" w:fill="002060"/>
          </w:tcPr>
          <w:p w:rsidR="00466583" w:rsidRPr="004328C5" w:rsidRDefault="00466583" w:rsidP="00746552">
            <w:pPr>
              <w:spacing w:line="360" w:lineRule="auto"/>
            </w:pPr>
            <w:r w:rsidRPr="004328C5">
              <w:t>N</w:t>
            </w:r>
            <w:r w:rsidR="00746552">
              <w:t>r.</w:t>
            </w:r>
            <w:r w:rsidRPr="004328C5">
              <w:t xml:space="preserve"> i pjesëmarrëseve  </w:t>
            </w:r>
          </w:p>
        </w:tc>
        <w:tc>
          <w:tcPr>
            <w:tcW w:w="1150" w:type="dxa"/>
            <w:shd w:val="clear" w:color="auto" w:fill="002060"/>
          </w:tcPr>
          <w:p w:rsidR="00466583" w:rsidRPr="004328C5" w:rsidRDefault="00466583" w:rsidP="00005E27">
            <w:pPr>
              <w:spacing w:line="360" w:lineRule="auto"/>
            </w:pPr>
            <w:r w:rsidRPr="004328C5">
              <w:t>Nr:Femra</w:t>
            </w:r>
          </w:p>
        </w:tc>
        <w:tc>
          <w:tcPr>
            <w:tcW w:w="1288" w:type="dxa"/>
            <w:shd w:val="clear" w:color="auto" w:fill="002060"/>
          </w:tcPr>
          <w:p w:rsidR="00466583" w:rsidRPr="004328C5" w:rsidRDefault="00466583" w:rsidP="00005E27">
            <w:pPr>
              <w:spacing w:line="360" w:lineRule="auto"/>
            </w:pPr>
            <w:r w:rsidRPr="004328C5">
              <w:t>Nr.Meshkuj</w:t>
            </w:r>
          </w:p>
        </w:tc>
      </w:tr>
      <w:tr w:rsidR="00466583" w:rsidRPr="004328C5" w:rsidTr="00B84B68">
        <w:tc>
          <w:tcPr>
            <w:tcW w:w="7379" w:type="dxa"/>
          </w:tcPr>
          <w:p w:rsidR="00466583" w:rsidRPr="004328C5" w:rsidRDefault="00466583" w:rsidP="000D1F3F">
            <w:pPr>
              <w:spacing w:line="360" w:lineRule="auto"/>
              <w:jc w:val="both"/>
            </w:pPr>
            <w:r w:rsidRPr="004328C5">
              <w:t>1-Rregullore për Transparencë në Komunën e Prizrenit</w:t>
            </w:r>
          </w:p>
        </w:tc>
        <w:tc>
          <w:tcPr>
            <w:tcW w:w="1703" w:type="dxa"/>
          </w:tcPr>
          <w:p w:rsidR="00466583" w:rsidRPr="004328C5" w:rsidRDefault="00466583" w:rsidP="004328C5">
            <w:pPr>
              <w:spacing w:line="360" w:lineRule="auto"/>
              <w:jc w:val="right"/>
            </w:pPr>
            <w:r w:rsidRPr="004328C5">
              <w:t>27</w:t>
            </w:r>
          </w:p>
        </w:tc>
        <w:tc>
          <w:tcPr>
            <w:tcW w:w="1150" w:type="dxa"/>
          </w:tcPr>
          <w:p w:rsidR="00466583" w:rsidRPr="004328C5" w:rsidRDefault="00466583" w:rsidP="004328C5">
            <w:pPr>
              <w:spacing w:line="360" w:lineRule="auto"/>
              <w:jc w:val="right"/>
            </w:pPr>
            <w:r w:rsidRPr="004328C5">
              <w:t>10</w:t>
            </w:r>
          </w:p>
        </w:tc>
        <w:tc>
          <w:tcPr>
            <w:tcW w:w="1288" w:type="dxa"/>
          </w:tcPr>
          <w:p w:rsidR="00466583" w:rsidRPr="004328C5" w:rsidRDefault="00466583" w:rsidP="004328C5">
            <w:pPr>
              <w:spacing w:line="360" w:lineRule="auto"/>
              <w:jc w:val="right"/>
            </w:pPr>
            <w:r w:rsidRPr="004328C5">
              <w:t>17</w:t>
            </w:r>
          </w:p>
        </w:tc>
      </w:tr>
      <w:tr w:rsidR="00466583" w:rsidRPr="004328C5" w:rsidTr="00B84B68">
        <w:tc>
          <w:tcPr>
            <w:tcW w:w="7379" w:type="dxa"/>
          </w:tcPr>
          <w:p w:rsidR="00466583" w:rsidRPr="004328C5" w:rsidRDefault="00466583" w:rsidP="000D1F3F">
            <w:pPr>
              <w:spacing w:line="360" w:lineRule="auto"/>
              <w:jc w:val="both"/>
            </w:pPr>
            <w:r w:rsidRPr="004328C5">
              <w:t>2-Strategjia për sigurinë në institucionet edukative arsimore në Komunën e Prizrenit</w:t>
            </w:r>
          </w:p>
        </w:tc>
        <w:tc>
          <w:tcPr>
            <w:tcW w:w="1703" w:type="dxa"/>
          </w:tcPr>
          <w:p w:rsidR="00466583" w:rsidRPr="004328C5" w:rsidRDefault="00466583" w:rsidP="004328C5">
            <w:pPr>
              <w:spacing w:line="360" w:lineRule="auto"/>
              <w:jc w:val="right"/>
            </w:pPr>
            <w:r w:rsidRPr="004328C5">
              <w:t>40</w:t>
            </w:r>
          </w:p>
        </w:tc>
        <w:tc>
          <w:tcPr>
            <w:tcW w:w="1150" w:type="dxa"/>
          </w:tcPr>
          <w:p w:rsidR="00466583" w:rsidRPr="004328C5" w:rsidRDefault="00466583" w:rsidP="004328C5">
            <w:pPr>
              <w:spacing w:line="360" w:lineRule="auto"/>
              <w:jc w:val="right"/>
            </w:pPr>
            <w:r w:rsidRPr="004328C5">
              <w:t>17</w:t>
            </w:r>
          </w:p>
        </w:tc>
        <w:tc>
          <w:tcPr>
            <w:tcW w:w="1288" w:type="dxa"/>
          </w:tcPr>
          <w:p w:rsidR="00466583" w:rsidRPr="004328C5" w:rsidRDefault="00466583" w:rsidP="004328C5">
            <w:pPr>
              <w:spacing w:line="360" w:lineRule="auto"/>
              <w:jc w:val="right"/>
            </w:pPr>
            <w:r w:rsidRPr="004328C5">
              <w:t>23</w:t>
            </w:r>
          </w:p>
        </w:tc>
      </w:tr>
      <w:tr w:rsidR="00466583" w:rsidRPr="004328C5" w:rsidTr="00B84B68">
        <w:tc>
          <w:tcPr>
            <w:tcW w:w="7379" w:type="dxa"/>
          </w:tcPr>
          <w:p w:rsidR="00466583" w:rsidRPr="004328C5" w:rsidRDefault="00466583" w:rsidP="000D1F3F">
            <w:pPr>
              <w:spacing w:line="360" w:lineRule="auto"/>
              <w:jc w:val="both"/>
            </w:pPr>
            <w:r w:rsidRPr="004328C5">
              <w:t>3-Rregullore Varrim dhe Mirëmbajtjen e Varrezave te Reja të Prizrenit në Landovicë</w:t>
            </w:r>
          </w:p>
        </w:tc>
        <w:tc>
          <w:tcPr>
            <w:tcW w:w="1703" w:type="dxa"/>
          </w:tcPr>
          <w:p w:rsidR="00466583" w:rsidRPr="004328C5" w:rsidRDefault="00466583" w:rsidP="004328C5">
            <w:pPr>
              <w:spacing w:line="360" w:lineRule="auto"/>
              <w:jc w:val="right"/>
            </w:pPr>
            <w:r w:rsidRPr="004328C5">
              <w:t>16</w:t>
            </w:r>
          </w:p>
        </w:tc>
        <w:tc>
          <w:tcPr>
            <w:tcW w:w="1150" w:type="dxa"/>
          </w:tcPr>
          <w:p w:rsidR="00466583" w:rsidRPr="004328C5" w:rsidRDefault="00466583" w:rsidP="004328C5">
            <w:pPr>
              <w:spacing w:line="360" w:lineRule="auto"/>
              <w:jc w:val="right"/>
            </w:pPr>
            <w:r w:rsidRPr="004328C5">
              <w:t>8</w:t>
            </w:r>
          </w:p>
        </w:tc>
        <w:tc>
          <w:tcPr>
            <w:tcW w:w="1288" w:type="dxa"/>
          </w:tcPr>
          <w:p w:rsidR="00466583" w:rsidRPr="004328C5" w:rsidRDefault="00466583" w:rsidP="004328C5">
            <w:pPr>
              <w:spacing w:line="360" w:lineRule="auto"/>
              <w:jc w:val="right"/>
            </w:pPr>
            <w:r w:rsidRPr="004328C5">
              <w:t>8</w:t>
            </w:r>
          </w:p>
        </w:tc>
      </w:tr>
      <w:tr w:rsidR="00466583" w:rsidRPr="004328C5" w:rsidTr="00B84B68">
        <w:tc>
          <w:tcPr>
            <w:tcW w:w="7379" w:type="dxa"/>
          </w:tcPr>
          <w:p w:rsidR="00466583" w:rsidRPr="004328C5" w:rsidRDefault="00466583" w:rsidP="000D1F3F">
            <w:pPr>
              <w:spacing w:line="360" w:lineRule="auto"/>
              <w:jc w:val="both"/>
            </w:pPr>
            <w:r w:rsidRPr="004328C5">
              <w:t>4-Qarkoren e Pare Buxhetore dhe KAB-in 2026/28-kryetari i Komunës, Shaqir Totaj</w:t>
            </w:r>
          </w:p>
        </w:tc>
        <w:tc>
          <w:tcPr>
            <w:tcW w:w="1703" w:type="dxa"/>
          </w:tcPr>
          <w:p w:rsidR="00466583" w:rsidRPr="004328C5" w:rsidRDefault="00466583" w:rsidP="004328C5">
            <w:pPr>
              <w:spacing w:line="360" w:lineRule="auto"/>
              <w:jc w:val="right"/>
            </w:pPr>
            <w:r w:rsidRPr="004328C5">
              <w:t>30</w:t>
            </w:r>
          </w:p>
        </w:tc>
        <w:tc>
          <w:tcPr>
            <w:tcW w:w="1150" w:type="dxa"/>
          </w:tcPr>
          <w:p w:rsidR="00466583" w:rsidRPr="004328C5" w:rsidRDefault="00466583" w:rsidP="004328C5">
            <w:pPr>
              <w:spacing w:line="360" w:lineRule="auto"/>
              <w:jc w:val="right"/>
            </w:pPr>
            <w:r w:rsidRPr="004328C5">
              <w:t>5</w:t>
            </w:r>
          </w:p>
        </w:tc>
        <w:tc>
          <w:tcPr>
            <w:tcW w:w="1288" w:type="dxa"/>
          </w:tcPr>
          <w:p w:rsidR="00466583" w:rsidRPr="004328C5" w:rsidRDefault="00466583" w:rsidP="004328C5">
            <w:pPr>
              <w:spacing w:line="360" w:lineRule="auto"/>
              <w:jc w:val="right"/>
            </w:pPr>
            <w:r w:rsidRPr="004328C5">
              <w:t>25</w:t>
            </w:r>
          </w:p>
        </w:tc>
      </w:tr>
      <w:tr w:rsidR="00466583" w:rsidRPr="004328C5" w:rsidTr="00B84B68">
        <w:tc>
          <w:tcPr>
            <w:tcW w:w="7379" w:type="dxa"/>
          </w:tcPr>
          <w:p w:rsidR="00466583" w:rsidRPr="004328C5" w:rsidRDefault="00466583" w:rsidP="000D1F3F">
            <w:pPr>
              <w:spacing w:line="360" w:lineRule="auto"/>
              <w:jc w:val="both"/>
            </w:pPr>
            <w:r w:rsidRPr="004328C5">
              <w:t>5-Qarkoren e Pare Buxhetore-2026 dhe KAB-in 2026/28-KPF</w:t>
            </w:r>
          </w:p>
        </w:tc>
        <w:tc>
          <w:tcPr>
            <w:tcW w:w="1703" w:type="dxa"/>
          </w:tcPr>
          <w:p w:rsidR="00466583" w:rsidRPr="004328C5" w:rsidRDefault="00466583" w:rsidP="004328C5">
            <w:pPr>
              <w:spacing w:line="360" w:lineRule="auto"/>
              <w:jc w:val="right"/>
            </w:pPr>
            <w:r w:rsidRPr="004328C5">
              <w:t>32</w:t>
            </w:r>
          </w:p>
        </w:tc>
        <w:tc>
          <w:tcPr>
            <w:tcW w:w="1150" w:type="dxa"/>
          </w:tcPr>
          <w:p w:rsidR="00466583" w:rsidRPr="004328C5" w:rsidRDefault="00466583" w:rsidP="004328C5">
            <w:pPr>
              <w:spacing w:line="360" w:lineRule="auto"/>
              <w:jc w:val="right"/>
            </w:pPr>
            <w:r w:rsidRPr="004328C5">
              <w:t>9</w:t>
            </w:r>
          </w:p>
        </w:tc>
        <w:tc>
          <w:tcPr>
            <w:tcW w:w="1288" w:type="dxa"/>
          </w:tcPr>
          <w:p w:rsidR="00466583" w:rsidRPr="004328C5" w:rsidRDefault="00466583" w:rsidP="004328C5">
            <w:pPr>
              <w:spacing w:line="360" w:lineRule="auto"/>
              <w:jc w:val="right"/>
            </w:pPr>
            <w:r w:rsidRPr="004328C5">
              <w:t>23</w:t>
            </w:r>
          </w:p>
        </w:tc>
      </w:tr>
      <w:tr w:rsidR="00210907" w:rsidRPr="004328C5" w:rsidTr="00B84B68">
        <w:tc>
          <w:tcPr>
            <w:tcW w:w="7379" w:type="dxa"/>
          </w:tcPr>
          <w:p w:rsidR="00210907" w:rsidRPr="004328C5" w:rsidRDefault="00210907" w:rsidP="000D1F3F">
            <w:pPr>
              <w:spacing w:line="360" w:lineRule="auto"/>
              <w:jc w:val="both"/>
            </w:pPr>
            <w:r w:rsidRPr="004328C5">
              <w:t>6-</w:t>
            </w:r>
            <w:r w:rsidRPr="004328C5">
              <w:rPr>
                <w:b/>
              </w:rPr>
              <w:t xml:space="preserve"> </w:t>
            </w:r>
            <w:r w:rsidRPr="004328C5">
              <w:t>Projekt- Planin Lokal të Veprimit për Përfshirjen e Komuniteteve Rom, Ashkali dhe Egjiptian në Komunën e Prizrenit 2025-2028</w:t>
            </w:r>
          </w:p>
        </w:tc>
        <w:tc>
          <w:tcPr>
            <w:tcW w:w="1703" w:type="dxa"/>
          </w:tcPr>
          <w:p w:rsidR="00210907" w:rsidRPr="004328C5" w:rsidRDefault="00210907" w:rsidP="004328C5">
            <w:pPr>
              <w:spacing w:line="360" w:lineRule="auto"/>
              <w:jc w:val="right"/>
            </w:pPr>
            <w:r w:rsidRPr="004328C5">
              <w:t>27</w:t>
            </w:r>
          </w:p>
        </w:tc>
        <w:tc>
          <w:tcPr>
            <w:tcW w:w="1150" w:type="dxa"/>
          </w:tcPr>
          <w:p w:rsidR="00210907" w:rsidRPr="004328C5" w:rsidRDefault="00210907" w:rsidP="004328C5">
            <w:pPr>
              <w:spacing w:line="360" w:lineRule="auto"/>
              <w:jc w:val="right"/>
            </w:pPr>
            <w:r w:rsidRPr="004328C5">
              <w:t>9</w:t>
            </w:r>
          </w:p>
        </w:tc>
        <w:tc>
          <w:tcPr>
            <w:tcW w:w="1288" w:type="dxa"/>
          </w:tcPr>
          <w:p w:rsidR="00210907" w:rsidRPr="004328C5" w:rsidRDefault="00210907" w:rsidP="004328C5">
            <w:pPr>
              <w:spacing w:line="360" w:lineRule="auto"/>
              <w:jc w:val="right"/>
            </w:pPr>
            <w:r w:rsidRPr="004328C5">
              <w:t>18</w:t>
            </w:r>
          </w:p>
        </w:tc>
      </w:tr>
      <w:tr w:rsidR="00466583" w:rsidRPr="004328C5" w:rsidTr="00B84B68">
        <w:tc>
          <w:tcPr>
            <w:tcW w:w="7379" w:type="dxa"/>
          </w:tcPr>
          <w:p w:rsidR="00466583" w:rsidRPr="004328C5" w:rsidRDefault="00466583" w:rsidP="00005E27">
            <w:pPr>
              <w:spacing w:line="360" w:lineRule="auto"/>
              <w:rPr>
                <w:b/>
              </w:rPr>
            </w:pPr>
            <w:r w:rsidRPr="004328C5">
              <w:rPr>
                <w:b/>
              </w:rPr>
              <w:t>Totali:</w:t>
            </w:r>
          </w:p>
        </w:tc>
        <w:tc>
          <w:tcPr>
            <w:tcW w:w="1703" w:type="dxa"/>
          </w:tcPr>
          <w:p w:rsidR="00466583" w:rsidRPr="004328C5" w:rsidRDefault="00E33133" w:rsidP="004328C5">
            <w:pPr>
              <w:spacing w:line="360" w:lineRule="auto"/>
              <w:jc w:val="right"/>
              <w:rPr>
                <w:b/>
              </w:rPr>
            </w:pPr>
            <w:r w:rsidRPr="004328C5">
              <w:rPr>
                <w:b/>
              </w:rPr>
              <w:t>172</w:t>
            </w:r>
          </w:p>
        </w:tc>
        <w:tc>
          <w:tcPr>
            <w:tcW w:w="1150" w:type="dxa"/>
          </w:tcPr>
          <w:p w:rsidR="00466583" w:rsidRPr="004328C5" w:rsidRDefault="00E33133" w:rsidP="004328C5">
            <w:pPr>
              <w:spacing w:line="360" w:lineRule="auto"/>
              <w:jc w:val="right"/>
              <w:rPr>
                <w:b/>
              </w:rPr>
            </w:pPr>
            <w:r w:rsidRPr="004328C5">
              <w:rPr>
                <w:b/>
              </w:rPr>
              <w:t>58</w:t>
            </w:r>
          </w:p>
        </w:tc>
        <w:tc>
          <w:tcPr>
            <w:tcW w:w="1288" w:type="dxa"/>
          </w:tcPr>
          <w:p w:rsidR="00466583" w:rsidRPr="004328C5" w:rsidRDefault="00E33133" w:rsidP="004328C5">
            <w:pPr>
              <w:spacing w:line="360" w:lineRule="auto"/>
              <w:jc w:val="right"/>
              <w:rPr>
                <w:b/>
              </w:rPr>
            </w:pPr>
            <w:r w:rsidRPr="004328C5">
              <w:rPr>
                <w:b/>
              </w:rPr>
              <w:t>114</w:t>
            </w:r>
          </w:p>
        </w:tc>
      </w:tr>
    </w:tbl>
    <w:p w:rsidR="00466583" w:rsidRDefault="00466583" w:rsidP="00F53961"/>
    <w:p w:rsidR="00466583" w:rsidRDefault="00466583" w:rsidP="00F53961"/>
    <w:p w:rsidR="00F53961" w:rsidRDefault="00F53961" w:rsidP="00F53961">
      <w:pPr>
        <w:rPr>
          <w:b/>
        </w:rPr>
      </w:pPr>
    </w:p>
    <w:p w:rsidR="00466583" w:rsidRDefault="00466583" w:rsidP="00F53961">
      <w:pPr>
        <w:rPr>
          <w:b/>
        </w:rPr>
      </w:pPr>
    </w:p>
    <w:p w:rsidR="005F4596" w:rsidRDefault="005F4596" w:rsidP="00F53961">
      <w:pPr>
        <w:rPr>
          <w:b/>
        </w:rPr>
      </w:pPr>
    </w:p>
    <w:p w:rsidR="005F4596" w:rsidRDefault="005F4596" w:rsidP="00F53961">
      <w:pPr>
        <w:rPr>
          <w:b/>
        </w:rPr>
      </w:pPr>
    </w:p>
    <w:p w:rsidR="005F4596" w:rsidRDefault="005F4596" w:rsidP="00F53961">
      <w:pPr>
        <w:rPr>
          <w:b/>
        </w:rPr>
      </w:pPr>
    </w:p>
    <w:p w:rsidR="005F4596" w:rsidRDefault="005F4596" w:rsidP="00F53961">
      <w:pPr>
        <w:rPr>
          <w:b/>
        </w:rPr>
      </w:pPr>
    </w:p>
    <w:p w:rsidR="005F4596" w:rsidRDefault="005F4596" w:rsidP="00F53961">
      <w:pPr>
        <w:rPr>
          <w:b/>
        </w:rPr>
      </w:pPr>
    </w:p>
    <w:p w:rsidR="003D5807" w:rsidRDefault="003D5807" w:rsidP="00F53961">
      <w:pPr>
        <w:rPr>
          <w:b/>
        </w:rPr>
      </w:pPr>
    </w:p>
    <w:p w:rsidR="009565D6" w:rsidRDefault="009565D6" w:rsidP="00F53961">
      <w:pPr>
        <w:rPr>
          <w:b/>
        </w:rPr>
      </w:pPr>
    </w:p>
    <w:p w:rsidR="00E644A6" w:rsidRDefault="00E644A6" w:rsidP="00F53961">
      <w:pPr>
        <w:rPr>
          <w:b/>
        </w:rPr>
      </w:pPr>
    </w:p>
    <w:p w:rsidR="00F53961" w:rsidRPr="009565D6" w:rsidRDefault="006A3BD0" w:rsidP="008456E2">
      <w:pPr>
        <w:shd w:val="clear" w:color="auto" w:fill="002060"/>
        <w:spacing w:line="276" w:lineRule="auto"/>
        <w:rPr>
          <w:b/>
          <w:sz w:val="32"/>
          <w:szCs w:val="32"/>
        </w:rPr>
      </w:pPr>
      <w:r w:rsidRPr="009565D6">
        <w:rPr>
          <w:b/>
          <w:sz w:val="32"/>
          <w:szCs w:val="32"/>
        </w:rPr>
        <w:lastRenderedPageBreak/>
        <w:t>Të dhëna për Buxhetim</w:t>
      </w:r>
      <w:r w:rsidR="00F53961" w:rsidRPr="009565D6">
        <w:rPr>
          <w:b/>
          <w:sz w:val="32"/>
          <w:szCs w:val="32"/>
        </w:rPr>
        <w:t xml:space="preserve"> me Pjesëmarrje:</w:t>
      </w:r>
    </w:p>
    <w:p w:rsidR="008E35B3" w:rsidRPr="008E35B3" w:rsidRDefault="008E35B3" w:rsidP="003D5807">
      <w:pPr>
        <w:spacing w:line="276" w:lineRule="auto"/>
      </w:pPr>
    </w:p>
    <w:p w:rsidR="008E35B3" w:rsidRDefault="006A3BD0" w:rsidP="003D5807">
      <w:pPr>
        <w:spacing w:line="276" w:lineRule="auto"/>
        <w:jc w:val="both"/>
      </w:pPr>
      <w:r>
        <w:t>Në afat ligjor kemi bërë publikimin e</w:t>
      </w:r>
      <w:r w:rsidR="008E35B3" w:rsidRPr="008E35B3">
        <w:t xml:space="preserve"> </w:t>
      </w:r>
      <w:r w:rsidR="00FD260A">
        <w:t>kalendarit</w:t>
      </w:r>
      <w:r>
        <w:t>, përfshirë</w:t>
      </w:r>
      <w:r w:rsidR="008E35B3" w:rsidRPr="008E35B3">
        <w:t xml:space="preserve"> të gjitha detajet për organizimin e Buxhetimit me Pjesëmarrje</w:t>
      </w:r>
      <w:r>
        <w:t xml:space="preserve"> për vitin 2026</w:t>
      </w:r>
      <w:r w:rsidR="008E35B3" w:rsidRPr="008E35B3">
        <w:t xml:space="preserve">: </w:t>
      </w:r>
    </w:p>
    <w:p w:rsidR="009565D6" w:rsidRDefault="009565D6" w:rsidP="003D5807">
      <w:pPr>
        <w:spacing w:line="276" w:lineRule="auto"/>
        <w:jc w:val="both"/>
      </w:pPr>
    </w:p>
    <w:p w:rsidR="00FD260A" w:rsidRDefault="00447ADF" w:rsidP="003D5807">
      <w:pPr>
        <w:spacing w:line="276" w:lineRule="auto"/>
        <w:jc w:val="both"/>
      </w:pPr>
      <w:hyperlink r:id="rId10" w:history="1">
        <w:r w:rsidR="008E35B3" w:rsidRPr="008E35B3">
          <w:rPr>
            <w:rStyle w:val="Hyperlink"/>
            <w:color w:val="0000FF"/>
          </w:rPr>
          <w:t>https://prizren.rks-gov.net/wp-content/uploads/2025/04/Kalendari-i-takimeve-publike-per-Buxhetim-me-Pjesemarrje-per-vitin-2025-Shq-Bosh-Tur.pdf</w:t>
        </w:r>
      </w:hyperlink>
      <w:r w:rsidR="008E35B3" w:rsidRPr="008E35B3">
        <w:rPr>
          <w:color w:val="0000FF"/>
        </w:rPr>
        <w:t xml:space="preserve"> </w:t>
      </w:r>
      <w:r w:rsidR="00FD260A" w:rsidRPr="00FD260A">
        <w:t>.</w:t>
      </w:r>
      <w:r w:rsidR="00FD260A">
        <w:t xml:space="preserve"> </w:t>
      </w:r>
    </w:p>
    <w:p w:rsidR="00D1562E" w:rsidRDefault="00D1562E" w:rsidP="003D5807">
      <w:pPr>
        <w:spacing w:line="276" w:lineRule="auto"/>
        <w:jc w:val="both"/>
      </w:pPr>
    </w:p>
    <w:p w:rsidR="00FD260A" w:rsidRDefault="006A3BD0" w:rsidP="003D5807">
      <w:pPr>
        <w:spacing w:line="276" w:lineRule="auto"/>
        <w:jc w:val="both"/>
      </w:pPr>
      <w:r>
        <w:t>Sipas planifikimit paraprak kemi</w:t>
      </w:r>
      <w:r w:rsidR="00FD260A">
        <w:t xml:space="preserve"> mbajtur </w:t>
      </w:r>
      <w:r w:rsidR="00FD260A" w:rsidRPr="00D1562E">
        <w:rPr>
          <w:b/>
        </w:rPr>
        <w:t>7</w:t>
      </w:r>
      <w:r w:rsidR="00FD260A">
        <w:t xml:space="preserve"> takime publike me qytetarë </w:t>
      </w:r>
      <w:r w:rsidR="00321156">
        <w:t xml:space="preserve"> për Buxhetimin me Pjesëmarrje </w:t>
      </w:r>
      <w:r w:rsidR="00FD260A">
        <w:t xml:space="preserve">në </w:t>
      </w:r>
      <w:r w:rsidR="00FD260A" w:rsidRPr="00D1562E">
        <w:rPr>
          <w:b/>
        </w:rPr>
        <w:t xml:space="preserve">7 </w:t>
      </w:r>
      <w:r w:rsidR="00FD260A">
        <w:t>lokalitete</w:t>
      </w:r>
      <w:r>
        <w:t xml:space="preserve"> urbane dhe rurale</w:t>
      </w:r>
      <w:r w:rsidR="00FD260A">
        <w:t>: Në fshatin Malësi e Re, lagjen “Bylbyldere”, lagjen “Ralini”, në fshatin Hoçë e Qytetit, në fshatin Mushnikovë dhe në lagjet “11 Marsi”</w:t>
      </w:r>
      <w:r>
        <w:t xml:space="preserve"> </w:t>
      </w:r>
      <w:r w:rsidR="00FD260A">
        <w:t xml:space="preserve">e “2 Korriku”. </w:t>
      </w:r>
    </w:p>
    <w:p w:rsidR="00DD6C38" w:rsidRDefault="00DD6C38" w:rsidP="003D5807">
      <w:pPr>
        <w:spacing w:line="276" w:lineRule="auto"/>
        <w:jc w:val="both"/>
      </w:pPr>
    </w:p>
    <w:p w:rsidR="008E35B3" w:rsidRDefault="00FD260A" w:rsidP="003D5807">
      <w:pPr>
        <w:spacing w:line="276" w:lineRule="auto"/>
        <w:jc w:val="both"/>
      </w:pPr>
      <w:r>
        <w:t xml:space="preserve">Përmes këtij procesi qytetarët në takimin e </w:t>
      </w:r>
      <w:r w:rsidR="00321156">
        <w:t>parë i kanë propozuar projektet</w:t>
      </w:r>
      <w:r w:rsidR="00A83C57">
        <w:t xml:space="preserve"> e tyre, kurse në takimin e dytë kanë votuar për projektet e propozuara dhe projekti që ka marrë ë së shumti vota do të jetë pjesë e buxhetit për vitin 2026.</w:t>
      </w:r>
    </w:p>
    <w:p w:rsidR="00466583" w:rsidRDefault="00466583" w:rsidP="003D5807">
      <w:pPr>
        <w:spacing w:line="276" w:lineRule="auto"/>
        <w:jc w:val="both"/>
      </w:pPr>
    </w:p>
    <w:p w:rsidR="00466583" w:rsidRDefault="00466583" w:rsidP="003D5807">
      <w:pPr>
        <w:spacing w:line="276" w:lineRule="auto"/>
        <w:jc w:val="both"/>
        <w:rPr>
          <w:b/>
        </w:rPr>
      </w:pPr>
      <w:r w:rsidRPr="00466583">
        <w:rPr>
          <w:b/>
        </w:rPr>
        <w:t>Tabelori për Buxhetim me Pjesëmarrje:</w:t>
      </w:r>
    </w:p>
    <w:p w:rsidR="005F4596" w:rsidRPr="00042CE7" w:rsidRDefault="005F4596" w:rsidP="00321156">
      <w:pPr>
        <w:jc w:val="both"/>
        <w:rPr>
          <w:b/>
        </w:rPr>
      </w:pPr>
    </w:p>
    <w:tbl>
      <w:tblPr>
        <w:tblStyle w:val="TableGrid"/>
        <w:tblW w:w="11450" w:type="dxa"/>
        <w:tblInd w:w="-1085" w:type="dxa"/>
        <w:tblLook w:val="04A0" w:firstRow="1" w:lastRow="0" w:firstColumn="1" w:lastColumn="0" w:noHBand="0" w:noVBand="1"/>
      </w:tblPr>
      <w:tblGrid>
        <w:gridCol w:w="6660"/>
        <w:gridCol w:w="2069"/>
        <w:gridCol w:w="1351"/>
        <w:gridCol w:w="1370"/>
      </w:tblGrid>
      <w:tr w:rsidR="00466583" w:rsidTr="008456E2">
        <w:tc>
          <w:tcPr>
            <w:tcW w:w="6660" w:type="dxa"/>
            <w:shd w:val="clear" w:color="auto" w:fill="002060"/>
          </w:tcPr>
          <w:p w:rsidR="00466583" w:rsidRDefault="00466583" w:rsidP="00005E27">
            <w:pPr>
              <w:spacing w:line="360" w:lineRule="auto"/>
            </w:pPr>
            <w:r>
              <w:t>Emri i Buxhetimit me Pjesëmarrje</w:t>
            </w:r>
          </w:p>
        </w:tc>
        <w:tc>
          <w:tcPr>
            <w:tcW w:w="2069" w:type="dxa"/>
            <w:shd w:val="clear" w:color="auto" w:fill="002060"/>
          </w:tcPr>
          <w:p w:rsidR="00466583" w:rsidRDefault="00466583" w:rsidP="00005E27">
            <w:pPr>
              <w:spacing w:line="360" w:lineRule="auto"/>
            </w:pPr>
            <w:r>
              <w:t xml:space="preserve">Numri i pjesëmarrëseve  </w:t>
            </w:r>
          </w:p>
        </w:tc>
        <w:tc>
          <w:tcPr>
            <w:tcW w:w="1351" w:type="dxa"/>
            <w:shd w:val="clear" w:color="auto" w:fill="002060"/>
          </w:tcPr>
          <w:p w:rsidR="00466583" w:rsidRDefault="00466583" w:rsidP="00005E27">
            <w:pPr>
              <w:spacing w:line="360" w:lineRule="auto"/>
            </w:pPr>
            <w:r>
              <w:t>Nr:Femra</w:t>
            </w:r>
          </w:p>
        </w:tc>
        <w:tc>
          <w:tcPr>
            <w:tcW w:w="1370" w:type="dxa"/>
            <w:shd w:val="clear" w:color="auto" w:fill="002060"/>
          </w:tcPr>
          <w:p w:rsidR="00466583" w:rsidRDefault="00466583" w:rsidP="00005E27">
            <w:pPr>
              <w:spacing w:line="360" w:lineRule="auto"/>
            </w:pPr>
            <w:r>
              <w:t>Nr.Meshkuj</w:t>
            </w:r>
          </w:p>
        </w:tc>
      </w:tr>
      <w:tr w:rsidR="00466583" w:rsidTr="008456E2">
        <w:tc>
          <w:tcPr>
            <w:tcW w:w="6660" w:type="dxa"/>
          </w:tcPr>
          <w:p w:rsidR="00466583" w:rsidRDefault="00466583" w:rsidP="000D1F3F">
            <w:pPr>
              <w:jc w:val="both"/>
            </w:pPr>
            <w:r>
              <w:t>1-</w:t>
            </w:r>
            <w:r w:rsidR="000D1F3F">
              <w:t xml:space="preserve">Buxhetimi me Pjesëmarrje në </w:t>
            </w:r>
            <w:r>
              <w:t xml:space="preserve">fshatin Malësi e Re </w:t>
            </w:r>
          </w:p>
        </w:tc>
        <w:tc>
          <w:tcPr>
            <w:tcW w:w="2069" w:type="dxa"/>
          </w:tcPr>
          <w:p w:rsidR="00466583" w:rsidRDefault="00466583" w:rsidP="003D5807">
            <w:pPr>
              <w:spacing w:line="360" w:lineRule="auto"/>
              <w:jc w:val="right"/>
            </w:pPr>
            <w:r>
              <w:t>51</w:t>
            </w:r>
          </w:p>
        </w:tc>
        <w:tc>
          <w:tcPr>
            <w:tcW w:w="1351" w:type="dxa"/>
          </w:tcPr>
          <w:p w:rsidR="00466583" w:rsidRDefault="00466583" w:rsidP="003D5807">
            <w:pPr>
              <w:spacing w:line="360" w:lineRule="auto"/>
              <w:jc w:val="right"/>
            </w:pPr>
            <w:r>
              <w:t>3</w:t>
            </w:r>
          </w:p>
        </w:tc>
        <w:tc>
          <w:tcPr>
            <w:tcW w:w="1370" w:type="dxa"/>
          </w:tcPr>
          <w:p w:rsidR="00466583" w:rsidRDefault="00466583" w:rsidP="003D5807">
            <w:pPr>
              <w:spacing w:line="360" w:lineRule="auto"/>
              <w:jc w:val="right"/>
            </w:pPr>
            <w:r>
              <w:t>48</w:t>
            </w:r>
          </w:p>
        </w:tc>
      </w:tr>
      <w:tr w:rsidR="00466583" w:rsidTr="008456E2">
        <w:tc>
          <w:tcPr>
            <w:tcW w:w="6660" w:type="dxa"/>
          </w:tcPr>
          <w:p w:rsidR="00466583" w:rsidRDefault="000D1F3F" w:rsidP="000D1F3F">
            <w:pPr>
              <w:spacing w:line="360" w:lineRule="auto"/>
              <w:jc w:val="both"/>
            </w:pPr>
            <w:r>
              <w:t>2-</w:t>
            </w:r>
            <w:r>
              <w:t>Buxhetimi me Pjesëmarrje në</w:t>
            </w:r>
            <w:r w:rsidR="00466583">
              <w:t xml:space="preserve"> lagjen “Bylbyldere”-Prizren </w:t>
            </w:r>
          </w:p>
        </w:tc>
        <w:tc>
          <w:tcPr>
            <w:tcW w:w="2069" w:type="dxa"/>
          </w:tcPr>
          <w:p w:rsidR="00466583" w:rsidRDefault="00466583" w:rsidP="003D5807">
            <w:pPr>
              <w:spacing w:line="360" w:lineRule="auto"/>
              <w:jc w:val="right"/>
            </w:pPr>
            <w:r>
              <w:t>148</w:t>
            </w:r>
          </w:p>
        </w:tc>
        <w:tc>
          <w:tcPr>
            <w:tcW w:w="1351" w:type="dxa"/>
          </w:tcPr>
          <w:p w:rsidR="00466583" w:rsidRDefault="00466583" w:rsidP="003D5807">
            <w:pPr>
              <w:spacing w:line="360" w:lineRule="auto"/>
              <w:jc w:val="right"/>
            </w:pPr>
            <w:r>
              <w:t>54</w:t>
            </w:r>
          </w:p>
        </w:tc>
        <w:tc>
          <w:tcPr>
            <w:tcW w:w="1370" w:type="dxa"/>
          </w:tcPr>
          <w:p w:rsidR="00466583" w:rsidRDefault="00466583" w:rsidP="003D5807">
            <w:pPr>
              <w:spacing w:line="360" w:lineRule="auto"/>
              <w:jc w:val="right"/>
            </w:pPr>
            <w:r>
              <w:t>94</w:t>
            </w:r>
          </w:p>
        </w:tc>
      </w:tr>
      <w:tr w:rsidR="00466583" w:rsidTr="008456E2">
        <w:tc>
          <w:tcPr>
            <w:tcW w:w="6660" w:type="dxa"/>
          </w:tcPr>
          <w:p w:rsidR="00466583" w:rsidRDefault="000D1F3F" w:rsidP="000D1F3F">
            <w:pPr>
              <w:spacing w:line="360" w:lineRule="auto"/>
              <w:jc w:val="both"/>
            </w:pPr>
            <w:r>
              <w:t>3-</w:t>
            </w:r>
            <w:r>
              <w:t>Buxhetimi me Pjesëmarrje në</w:t>
            </w:r>
            <w:r w:rsidR="00466583">
              <w:t xml:space="preserve"> lagjen “Ralini”-Prizren </w:t>
            </w:r>
          </w:p>
        </w:tc>
        <w:tc>
          <w:tcPr>
            <w:tcW w:w="2069" w:type="dxa"/>
          </w:tcPr>
          <w:p w:rsidR="00466583" w:rsidRDefault="00466583" w:rsidP="003D5807">
            <w:pPr>
              <w:spacing w:line="360" w:lineRule="auto"/>
              <w:jc w:val="right"/>
            </w:pPr>
            <w:r>
              <w:t>26</w:t>
            </w:r>
          </w:p>
        </w:tc>
        <w:tc>
          <w:tcPr>
            <w:tcW w:w="1351" w:type="dxa"/>
          </w:tcPr>
          <w:p w:rsidR="00466583" w:rsidRDefault="00466583" w:rsidP="003D5807">
            <w:pPr>
              <w:spacing w:line="360" w:lineRule="auto"/>
              <w:jc w:val="right"/>
            </w:pPr>
            <w:r>
              <w:t>3</w:t>
            </w:r>
          </w:p>
        </w:tc>
        <w:tc>
          <w:tcPr>
            <w:tcW w:w="1370" w:type="dxa"/>
          </w:tcPr>
          <w:p w:rsidR="00466583" w:rsidRDefault="00466583" w:rsidP="003D5807">
            <w:pPr>
              <w:spacing w:line="360" w:lineRule="auto"/>
              <w:jc w:val="right"/>
            </w:pPr>
            <w:r>
              <w:t>23</w:t>
            </w:r>
          </w:p>
        </w:tc>
      </w:tr>
      <w:tr w:rsidR="00466583" w:rsidTr="008456E2">
        <w:tc>
          <w:tcPr>
            <w:tcW w:w="6660" w:type="dxa"/>
          </w:tcPr>
          <w:p w:rsidR="00466583" w:rsidRDefault="000D1F3F" w:rsidP="000D1F3F">
            <w:pPr>
              <w:spacing w:line="360" w:lineRule="auto"/>
              <w:jc w:val="both"/>
            </w:pPr>
            <w:r>
              <w:t>4-</w:t>
            </w:r>
            <w:r>
              <w:t>Buxhetimi me Pjesëmarrje në</w:t>
            </w:r>
            <w:r w:rsidR="00466583">
              <w:t xml:space="preserve"> fshatin Hoçë e Qyteti</w:t>
            </w:r>
            <w:bookmarkStart w:id="0" w:name="_GoBack"/>
            <w:bookmarkEnd w:id="0"/>
            <w:r w:rsidR="00466583">
              <w:t xml:space="preserve">t </w:t>
            </w:r>
          </w:p>
        </w:tc>
        <w:tc>
          <w:tcPr>
            <w:tcW w:w="2069" w:type="dxa"/>
          </w:tcPr>
          <w:p w:rsidR="00466583" w:rsidRDefault="00466583" w:rsidP="003D5807">
            <w:pPr>
              <w:spacing w:line="360" w:lineRule="auto"/>
              <w:jc w:val="right"/>
            </w:pPr>
            <w:r>
              <w:t>24</w:t>
            </w:r>
          </w:p>
        </w:tc>
        <w:tc>
          <w:tcPr>
            <w:tcW w:w="1351" w:type="dxa"/>
          </w:tcPr>
          <w:p w:rsidR="00466583" w:rsidRDefault="00466583" w:rsidP="003D5807">
            <w:pPr>
              <w:spacing w:line="360" w:lineRule="auto"/>
              <w:jc w:val="right"/>
            </w:pPr>
            <w:r>
              <w:t>2</w:t>
            </w:r>
          </w:p>
        </w:tc>
        <w:tc>
          <w:tcPr>
            <w:tcW w:w="1370" w:type="dxa"/>
          </w:tcPr>
          <w:p w:rsidR="00466583" w:rsidRDefault="00466583" w:rsidP="003D5807">
            <w:pPr>
              <w:spacing w:line="360" w:lineRule="auto"/>
              <w:jc w:val="right"/>
            </w:pPr>
            <w:r>
              <w:t>22</w:t>
            </w:r>
          </w:p>
        </w:tc>
      </w:tr>
      <w:tr w:rsidR="00466583" w:rsidTr="008456E2">
        <w:tc>
          <w:tcPr>
            <w:tcW w:w="6660" w:type="dxa"/>
          </w:tcPr>
          <w:p w:rsidR="00466583" w:rsidRDefault="000D1F3F" w:rsidP="000D1F3F">
            <w:pPr>
              <w:spacing w:line="360" w:lineRule="auto"/>
              <w:jc w:val="both"/>
            </w:pPr>
            <w:r>
              <w:t>5-</w:t>
            </w:r>
            <w:r>
              <w:t>Buxhetimi me Pjesëmarrje në</w:t>
            </w:r>
            <w:r w:rsidR="00466583">
              <w:t xml:space="preserve"> fshatin Mushnikovë </w:t>
            </w:r>
          </w:p>
        </w:tc>
        <w:tc>
          <w:tcPr>
            <w:tcW w:w="2069" w:type="dxa"/>
          </w:tcPr>
          <w:p w:rsidR="00466583" w:rsidRDefault="00466583" w:rsidP="003D5807">
            <w:pPr>
              <w:spacing w:line="360" w:lineRule="auto"/>
              <w:jc w:val="right"/>
            </w:pPr>
            <w:r>
              <w:t>52</w:t>
            </w:r>
          </w:p>
        </w:tc>
        <w:tc>
          <w:tcPr>
            <w:tcW w:w="1351" w:type="dxa"/>
          </w:tcPr>
          <w:p w:rsidR="00466583" w:rsidRDefault="00466583" w:rsidP="003D5807">
            <w:pPr>
              <w:spacing w:line="360" w:lineRule="auto"/>
              <w:jc w:val="right"/>
            </w:pPr>
            <w:r>
              <w:t>1</w:t>
            </w:r>
          </w:p>
        </w:tc>
        <w:tc>
          <w:tcPr>
            <w:tcW w:w="1370" w:type="dxa"/>
          </w:tcPr>
          <w:p w:rsidR="00466583" w:rsidRDefault="00466583" w:rsidP="003D5807">
            <w:pPr>
              <w:spacing w:line="360" w:lineRule="auto"/>
              <w:jc w:val="right"/>
            </w:pPr>
            <w:r>
              <w:t>51</w:t>
            </w:r>
          </w:p>
        </w:tc>
      </w:tr>
      <w:tr w:rsidR="00466583" w:rsidTr="008456E2">
        <w:tc>
          <w:tcPr>
            <w:tcW w:w="6660" w:type="dxa"/>
          </w:tcPr>
          <w:p w:rsidR="00466583" w:rsidRDefault="000D1F3F" w:rsidP="000D1F3F">
            <w:pPr>
              <w:spacing w:line="360" w:lineRule="auto"/>
              <w:jc w:val="both"/>
            </w:pPr>
            <w:r>
              <w:t>6-</w:t>
            </w:r>
            <w:r>
              <w:t>Buxhetimi me Pjesëmarrje në</w:t>
            </w:r>
            <w:r w:rsidR="00466583">
              <w:t xml:space="preserve"> fshatin Romajë</w:t>
            </w:r>
          </w:p>
        </w:tc>
        <w:tc>
          <w:tcPr>
            <w:tcW w:w="2069" w:type="dxa"/>
          </w:tcPr>
          <w:p w:rsidR="00466583" w:rsidRDefault="00466583" w:rsidP="003D5807">
            <w:pPr>
              <w:spacing w:line="360" w:lineRule="auto"/>
              <w:jc w:val="right"/>
            </w:pPr>
            <w:r>
              <w:t>33</w:t>
            </w:r>
          </w:p>
        </w:tc>
        <w:tc>
          <w:tcPr>
            <w:tcW w:w="1351" w:type="dxa"/>
          </w:tcPr>
          <w:p w:rsidR="00466583" w:rsidRDefault="00466583" w:rsidP="003D5807">
            <w:pPr>
              <w:spacing w:line="360" w:lineRule="auto"/>
              <w:jc w:val="right"/>
            </w:pPr>
            <w:r>
              <w:t>2</w:t>
            </w:r>
          </w:p>
        </w:tc>
        <w:tc>
          <w:tcPr>
            <w:tcW w:w="1370" w:type="dxa"/>
          </w:tcPr>
          <w:p w:rsidR="00466583" w:rsidRDefault="00466583" w:rsidP="003D5807">
            <w:pPr>
              <w:spacing w:line="360" w:lineRule="auto"/>
              <w:jc w:val="right"/>
            </w:pPr>
            <w:r>
              <w:t>31</w:t>
            </w:r>
          </w:p>
        </w:tc>
      </w:tr>
      <w:tr w:rsidR="00466583" w:rsidTr="008456E2">
        <w:tc>
          <w:tcPr>
            <w:tcW w:w="6660" w:type="dxa"/>
          </w:tcPr>
          <w:p w:rsidR="00466583" w:rsidRDefault="000D1F3F" w:rsidP="000D1F3F">
            <w:pPr>
              <w:spacing w:line="360" w:lineRule="auto"/>
              <w:jc w:val="both"/>
            </w:pPr>
            <w:r>
              <w:t>7-</w:t>
            </w:r>
            <w:r>
              <w:t>Buxhetimi me Pjesëmarrje në</w:t>
            </w:r>
            <w:r w:rsidR="00466583">
              <w:t xml:space="preserve"> lagjet “11 Marsi” dhe “2 Korriku”</w:t>
            </w:r>
          </w:p>
        </w:tc>
        <w:tc>
          <w:tcPr>
            <w:tcW w:w="2069" w:type="dxa"/>
          </w:tcPr>
          <w:p w:rsidR="00466583" w:rsidRDefault="00466583" w:rsidP="003D5807">
            <w:pPr>
              <w:spacing w:line="360" w:lineRule="auto"/>
              <w:jc w:val="right"/>
            </w:pPr>
            <w:r>
              <w:t>220</w:t>
            </w:r>
          </w:p>
        </w:tc>
        <w:tc>
          <w:tcPr>
            <w:tcW w:w="1351" w:type="dxa"/>
          </w:tcPr>
          <w:p w:rsidR="00466583" w:rsidRDefault="00466583" w:rsidP="003D5807">
            <w:pPr>
              <w:spacing w:line="360" w:lineRule="auto"/>
              <w:jc w:val="right"/>
            </w:pPr>
            <w:r>
              <w:t>95</w:t>
            </w:r>
          </w:p>
        </w:tc>
        <w:tc>
          <w:tcPr>
            <w:tcW w:w="1370" w:type="dxa"/>
          </w:tcPr>
          <w:p w:rsidR="00466583" w:rsidRDefault="00466583" w:rsidP="003D5807">
            <w:pPr>
              <w:spacing w:line="360" w:lineRule="auto"/>
              <w:jc w:val="right"/>
            </w:pPr>
            <w:r>
              <w:t>125</w:t>
            </w:r>
          </w:p>
        </w:tc>
      </w:tr>
      <w:tr w:rsidR="00466583" w:rsidRPr="000D1F3F" w:rsidTr="008456E2">
        <w:tc>
          <w:tcPr>
            <w:tcW w:w="6660" w:type="dxa"/>
          </w:tcPr>
          <w:p w:rsidR="00466583" w:rsidRPr="000D1F3F" w:rsidRDefault="003D5807" w:rsidP="00005E27">
            <w:pPr>
              <w:spacing w:line="360" w:lineRule="auto"/>
              <w:rPr>
                <w:b/>
              </w:rPr>
            </w:pPr>
            <w:r w:rsidRPr="000D1F3F">
              <w:rPr>
                <w:b/>
              </w:rPr>
              <w:t>Totali:</w:t>
            </w:r>
          </w:p>
        </w:tc>
        <w:tc>
          <w:tcPr>
            <w:tcW w:w="2069" w:type="dxa"/>
          </w:tcPr>
          <w:p w:rsidR="00466583" w:rsidRPr="000D1F3F" w:rsidRDefault="00466583" w:rsidP="003D5807">
            <w:pPr>
              <w:spacing w:line="360" w:lineRule="auto"/>
              <w:jc w:val="right"/>
              <w:rPr>
                <w:b/>
              </w:rPr>
            </w:pPr>
            <w:r w:rsidRPr="000D1F3F">
              <w:rPr>
                <w:b/>
              </w:rPr>
              <w:t>554</w:t>
            </w:r>
          </w:p>
        </w:tc>
        <w:tc>
          <w:tcPr>
            <w:tcW w:w="1351" w:type="dxa"/>
          </w:tcPr>
          <w:p w:rsidR="00466583" w:rsidRPr="000D1F3F" w:rsidRDefault="00466583" w:rsidP="003D5807">
            <w:pPr>
              <w:spacing w:line="360" w:lineRule="auto"/>
              <w:jc w:val="right"/>
              <w:rPr>
                <w:b/>
              </w:rPr>
            </w:pPr>
            <w:r w:rsidRPr="000D1F3F">
              <w:rPr>
                <w:b/>
              </w:rPr>
              <w:t>Totali: 158</w:t>
            </w:r>
          </w:p>
        </w:tc>
        <w:tc>
          <w:tcPr>
            <w:tcW w:w="1370" w:type="dxa"/>
          </w:tcPr>
          <w:p w:rsidR="00466583" w:rsidRPr="000D1F3F" w:rsidRDefault="00466583" w:rsidP="003D5807">
            <w:pPr>
              <w:spacing w:line="360" w:lineRule="auto"/>
              <w:jc w:val="right"/>
              <w:rPr>
                <w:b/>
              </w:rPr>
            </w:pPr>
            <w:r w:rsidRPr="000D1F3F">
              <w:rPr>
                <w:b/>
              </w:rPr>
              <w:t>Totali: 390</w:t>
            </w:r>
          </w:p>
        </w:tc>
      </w:tr>
    </w:tbl>
    <w:p w:rsidR="00466583" w:rsidRPr="008E35B3" w:rsidRDefault="00466583" w:rsidP="00321156">
      <w:pPr>
        <w:jc w:val="both"/>
      </w:pPr>
    </w:p>
    <w:p w:rsidR="00F53961" w:rsidRDefault="00F53961" w:rsidP="00F53961">
      <w:pPr>
        <w:rPr>
          <w:b/>
        </w:rPr>
      </w:pPr>
    </w:p>
    <w:p w:rsidR="00466583" w:rsidRDefault="00466583" w:rsidP="00F53961">
      <w:pPr>
        <w:rPr>
          <w:b/>
        </w:rPr>
      </w:pPr>
    </w:p>
    <w:p w:rsidR="00466583" w:rsidRDefault="00466583" w:rsidP="00F53961">
      <w:pPr>
        <w:rPr>
          <w:b/>
        </w:rPr>
      </w:pPr>
    </w:p>
    <w:p w:rsidR="00466583" w:rsidRDefault="00466583" w:rsidP="00F53961">
      <w:pPr>
        <w:rPr>
          <w:b/>
        </w:rPr>
      </w:pPr>
    </w:p>
    <w:p w:rsidR="00466583" w:rsidRDefault="00466583" w:rsidP="00F53961">
      <w:pPr>
        <w:rPr>
          <w:b/>
        </w:rPr>
      </w:pPr>
    </w:p>
    <w:p w:rsidR="00466583" w:rsidRDefault="00466583" w:rsidP="00F53961">
      <w:pPr>
        <w:rPr>
          <w:b/>
        </w:rPr>
      </w:pPr>
    </w:p>
    <w:p w:rsidR="00E644A6" w:rsidRDefault="00E644A6" w:rsidP="00F53961">
      <w:pPr>
        <w:rPr>
          <w:b/>
        </w:rPr>
      </w:pPr>
    </w:p>
    <w:p w:rsidR="009565D6" w:rsidRDefault="009565D6" w:rsidP="00F53961">
      <w:pPr>
        <w:rPr>
          <w:b/>
        </w:rPr>
      </w:pPr>
    </w:p>
    <w:p w:rsidR="00466583" w:rsidRDefault="00466583" w:rsidP="00F53961">
      <w:pPr>
        <w:rPr>
          <w:b/>
        </w:rPr>
      </w:pPr>
    </w:p>
    <w:p w:rsidR="00F53961" w:rsidRPr="009565D6" w:rsidRDefault="00F53961" w:rsidP="004A1E89">
      <w:pPr>
        <w:shd w:val="clear" w:color="auto" w:fill="002060"/>
        <w:spacing w:line="276" w:lineRule="auto"/>
        <w:rPr>
          <w:b/>
          <w:sz w:val="32"/>
          <w:szCs w:val="32"/>
        </w:rPr>
      </w:pPr>
      <w:r w:rsidRPr="009565D6">
        <w:rPr>
          <w:b/>
          <w:sz w:val="32"/>
          <w:szCs w:val="32"/>
        </w:rPr>
        <w:lastRenderedPageBreak/>
        <w:t>Të dhëna për Takime Publike:</w:t>
      </w:r>
    </w:p>
    <w:p w:rsidR="00FD260A" w:rsidRDefault="00FD260A" w:rsidP="003D5807">
      <w:pPr>
        <w:spacing w:line="276" w:lineRule="auto"/>
        <w:rPr>
          <w:b/>
        </w:rPr>
      </w:pPr>
    </w:p>
    <w:p w:rsidR="005F4596" w:rsidRDefault="007E686C" w:rsidP="00860A94">
      <w:pPr>
        <w:spacing w:line="276" w:lineRule="auto"/>
        <w:jc w:val="both"/>
      </w:pPr>
      <w:r w:rsidRPr="007E686C">
        <w:t>Publikimi me kohë i planit për organizimin e dy Takimeve Publike të kryetarit me qytetarë për të raportuar për punën 6 mujore si dhe raportin vjetor për vitin 2025:</w:t>
      </w:r>
      <w:r w:rsidR="00F40411" w:rsidRPr="00F40411">
        <w:t xml:space="preserve"> </w:t>
      </w:r>
    </w:p>
    <w:p w:rsidR="009565D6" w:rsidRDefault="009565D6" w:rsidP="00860A94">
      <w:pPr>
        <w:spacing w:line="276" w:lineRule="auto"/>
        <w:jc w:val="both"/>
      </w:pPr>
    </w:p>
    <w:p w:rsidR="00D1562E" w:rsidRDefault="00447ADF" w:rsidP="00860A94">
      <w:pPr>
        <w:spacing w:line="276" w:lineRule="auto"/>
        <w:jc w:val="both"/>
        <w:rPr>
          <w:color w:val="0000FF"/>
        </w:rPr>
      </w:pPr>
      <w:hyperlink r:id="rId11" w:history="1">
        <w:r w:rsidR="00F40411" w:rsidRPr="00F40411">
          <w:rPr>
            <w:rStyle w:val="Hyperlink"/>
            <w:color w:val="0000FF"/>
          </w:rPr>
          <w:t>https://prizren.rks-gov.net/wp-content/uploads/2025/05/Plani-i-Takimeve-Publike-per-Vitin-2025-PDF-SCAN.pdf</w:t>
        </w:r>
      </w:hyperlink>
      <w:r w:rsidR="00F40411" w:rsidRPr="00F40411">
        <w:rPr>
          <w:color w:val="0000FF"/>
        </w:rPr>
        <w:t xml:space="preserve"> </w:t>
      </w:r>
      <w:r w:rsidR="00C214D6" w:rsidRPr="00D1562E">
        <w:t>.</w:t>
      </w:r>
    </w:p>
    <w:p w:rsidR="00BA2D25" w:rsidRDefault="00BA2D25" w:rsidP="00860A94">
      <w:pPr>
        <w:spacing w:line="276" w:lineRule="auto"/>
        <w:jc w:val="both"/>
      </w:pPr>
    </w:p>
    <w:p w:rsidR="00466583" w:rsidRDefault="005F4596" w:rsidP="00BA2D25">
      <w:pPr>
        <w:spacing w:line="276" w:lineRule="auto"/>
        <w:jc w:val="both"/>
      </w:pPr>
      <w:r>
        <w:t xml:space="preserve">Janë </w:t>
      </w:r>
      <w:r w:rsidR="00D1562E" w:rsidRPr="00D1562E">
        <w:t xml:space="preserve">mbajtur  </w:t>
      </w:r>
      <w:r>
        <w:rPr>
          <w:b/>
        </w:rPr>
        <w:t>2</w:t>
      </w:r>
      <w:r w:rsidR="00D1562E" w:rsidRPr="00D1562E">
        <w:t xml:space="preserve"> takim publik me qytetarë për </w:t>
      </w:r>
      <w:r w:rsidR="00C214D6" w:rsidRPr="00D1562E">
        <w:t xml:space="preserve"> </w:t>
      </w:r>
      <w:r w:rsidR="00D1562E" w:rsidRPr="00D1562E">
        <w:t xml:space="preserve">Renovimin dhe punimi e </w:t>
      </w:r>
      <w:r w:rsidR="00860A94" w:rsidRPr="00D1562E">
        <w:t>sipërfaqeve</w:t>
      </w:r>
      <w:r w:rsidR="00D1562E" w:rsidRPr="00D1562E">
        <w:t xml:space="preserve"> rekreative të shtegut Marash-Kala.</w:t>
      </w:r>
      <w:r>
        <w:t xml:space="preserve"> </w:t>
      </w:r>
      <w:r>
        <w:t>Takimi i parë me qytetarë i kryetarit për raportim për 6-të mujorin e vitit 2025</w:t>
      </w:r>
      <w:r>
        <w:t>.</w:t>
      </w:r>
    </w:p>
    <w:p w:rsidR="0040748A" w:rsidRDefault="0040748A" w:rsidP="00BA2D25">
      <w:pPr>
        <w:spacing w:line="276" w:lineRule="auto"/>
        <w:jc w:val="both"/>
      </w:pPr>
    </w:p>
    <w:p w:rsidR="00466583" w:rsidRDefault="00466583" w:rsidP="003D5807">
      <w:pPr>
        <w:spacing w:line="276" w:lineRule="auto"/>
        <w:rPr>
          <w:b/>
        </w:rPr>
      </w:pPr>
      <w:r w:rsidRPr="00860A94">
        <w:rPr>
          <w:b/>
        </w:rPr>
        <w:t>Tabelori me të dhëna për Takime Publike:</w:t>
      </w:r>
    </w:p>
    <w:p w:rsidR="009565D6" w:rsidRPr="00860A94" w:rsidRDefault="009565D6" w:rsidP="003D5807">
      <w:pPr>
        <w:spacing w:line="276" w:lineRule="auto"/>
        <w:rPr>
          <w:b/>
        </w:rPr>
      </w:pPr>
    </w:p>
    <w:tbl>
      <w:tblPr>
        <w:tblStyle w:val="TableGrid"/>
        <w:tblW w:w="11450" w:type="dxa"/>
        <w:tblInd w:w="-1085" w:type="dxa"/>
        <w:tblLook w:val="04A0" w:firstRow="1" w:lastRow="0" w:firstColumn="1" w:lastColumn="0" w:noHBand="0" w:noVBand="1"/>
      </w:tblPr>
      <w:tblGrid>
        <w:gridCol w:w="7200"/>
        <w:gridCol w:w="1710"/>
        <w:gridCol w:w="1170"/>
        <w:gridCol w:w="1370"/>
      </w:tblGrid>
      <w:tr w:rsidR="00466583" w:rsidTr="000C5673">
        <w:tc>
          <w:tcPr>
            <w:tcW w:w="7200" w:type="dxa"/>
            <w:shd w:val="clear" w:color="auto" w:fill="002060"/>
          </w:tcPr>
          <w:p w:rsidR="00466583" w:rsidRDefault="00466583" w:rsidP="00005E27">
            <w:pPr>
              <w:spacing w:line="360" w:lineRule="auto"/>
            </w:pPr>
            <w:r>
              <w:t>Emri i Takimit Publik</w:t>
            </w:r>
          </w:p>
        </w:tc>
        <w:tc>
          <w:tcPr>
            <w:tcW w:w="1710" w:type="dxa"/>
            <w:shd w:val="clear" w:color="auto" w:fill="002060"/>
          </w:tcPr>
          <w:p w:rsidR="00466583" w:rsidRDefault="00466583" w:rsidP="00005E27">
            <w:pPr>
              <w:spacing w:line="360" w:lineRule="auto"/>
            </w:pPr>
            <w:r>
              <w:t xml:space="preserve">Numri i pjesëmarrëseve  </w:t>
            </w:r>
          </w:p>
        </w:tc>
        <w:tc>
          <w:tcPr>
            <w:tcW w:w="1170" w:type="dxa"/>
            <w:shd w:val="clear" w:color="auto" w:fill="002060"/>
          </w:tcPr>
          <w:p w:rsidR="00466583" w:rsidRDefault="00466583" w:rsidP="00005E27">
            <w:pPr>
              <w:spacing w:line="360" w:lineRule="auto"/>
            </w:pPr>
            <w:r>
              <w:t>Nr:Femra</w:t>
            </w:r>
          </w:p>
        </w:tc>
        <w:tc>
          <w:tcPr>
            <w:tcW w:w="1370" w:type="dxa"/>
            <w:shd w:val="clear" w:color="auto" w:fill="002060"/>
          </w:tcPr>
          <w:p w:rsidR="00466583" w:rsidRDefault="00466583" w:rsidP="00005E27">
            <w:pPr>
              <w:spacing w:line="360" w:lineRule="auto"/>
            </w:pPr>
            <w:r>
              <w:t>Nr.Meshkuj</w:t>
            </w:r>
          </w:p>
        </w:tc>
      </w:tr>
      <w:tr w:rsidR="00466583" w:rsidTr="000C5673">
        <w:tc>
          <w:tcPr>
            <w:tcW w:w="7200" w:type="dxa"/>
          </w:tcPr>
          <w:p w:rsidR="00466583" w:rsidRDefault="00466583" w:rsidP="00005E27">
            <w:pPr>
              <w:spacing w:line="360" w:lineRule="auto"/>
            </w:pPr>
            <w:r>
              <w:t>1-Renovimi</w:t>
            </w:r>
            <w:r w:rsidRPr="00C214D6">
              <w:t xml:space="preserve"> dhe punimi e </w:t>
            </w:r>
            <w:r w:rsidR="00860A94" w:rsidRPr="00C214D6">
              <w:t>sipërfaqeve</w:t>
            </w:r>
            <w:r w:rsidRPr="00C214D6">
              <w:t xml:space="preserve"> rekreative të shtegut Marash-Kala</w:t>
            </w:r>
          </w:p>
        </w:tc>
        <w:tc>
          <w:tcPr>
            <w:tcW w:w="1710" w:type="dxa"/>
          </w:tcPr>
          <w:p w:rsidR="00466583" w:rsidRDefault="00466583" w:rsidP="000C5673">
            <w:pPr>
              <w:spacing w:line="360" w:lineRule="auto"/>
              <w:jc w:val="right"/>
            </w:pPr>
            <w:r>
              <w:t>13</w:t>
            </w:r>
          </w:p>
        </w:tc>
        <w:tc>
          <w:tcPr>
            <w:tcW w:w="1170" w:type="dxa"/>
          </w:tcPr>
          <w:p w:rsidR="00466583" w:rsidRDefault="00466583" w:rsidP="000C5673">
            <w:pPr>
              <w:spacing w:line="360" w:lineRule="auto"/>
              <w:jc w:val="right"/>
            </w:pPr>
            <w:r>
              <w:t>2</w:t>
            </w:r>
          </w:p>
        </w:tc>
        <w:tc>
          <w:tcPr>
            <w:tcW w:w="1370" w:type="dxa"/>
          </w:tcPr>
          <w:p w:rsidR="00466583" w:rsidRDefault="00466583" w:rsidP="000C5673">
            <w:pPr>
              <w:spacing w:line="360" w:lineRule="auto"/>
              <w:jc w:val="right"/>
            </w:pPr>
            <w:r>
              <w:t>11</w:t>
            </w:r>
          </w:p>
        </w:tc>
      </w:tr>
      <w:tr w:rsidR="00466583" w:rsidTr="000C5673">
        <w:tc>
          <w:tcPr>
            <w:tcW w:w="7200" w:type="dxa"/>
          </w:tcPr>
          <w:p w:rsidR="00466583" w:rsidRDefault="009D0F62" w:rsidP="00005E27">
            <w:pPr>
              <w:spacing w:line="360" w:lineRule="auto"/>
            </w:pPr>
            <w:r>
              <w:t xml:space="preserve">2-Takimi i parë me </w:t>
            </w:r>
            <w:r w:rsidR="005F4596">
              <w:t>qytetarë</w:t>
            </w:r>
            <w:r>
              <w:t xml:space="preserve"> i kryetarit për raportim për </w:t>
            </w:r>
            <w:r w:rsidR="002463F2">
              <w:t>punën 6-të mujore për vitin</w:t>
            </w:r>
            <w:r>
              <w:t xml:space="preserve"> 2025</w:t>
            </w:r>
          </w:p>
        </w:tc>
        <w:tc>
          <w:tcPr>
            <w:tcW w:w="1710" w:type="dxa"/>
          </w:tcPr>
          <w:p w:rsidR="00466583" w:rsidRDefault="009D0F62" w:rsidP="000C5673">
            <w:pPr>
              <w:spacing w:line="360" w:lineRule="auto"/>
              <w:jc w:val="right"/>
            </w:pPr>
            <w:r>
              <w:t>50</w:t>
            </w:r>
          </w:p>
        </w:tc>
        <w:tc>
          <w:tcPr>
            <w:tcW w:w="1170" w:type="dxa"/>
          </w:tcPr>
          <w:p w:rsidR="00466583" w:rsidRDefault="009D0F62" w:rsidP="000C5673">
            <w:pPr>
              <w:spacing w:line="360" w:lineRule="auto"/>
              <w:jc w:val="right"/>
            </w:pPr>
            <w:r>
              <w:t>18</w:t>
            </w:r>
          </w:p>
        </w:tc>
        <w:tc>
          <w:tcPr>
            <w:tcW w:w="1370" w:type="dxa"/>
          </w:tcPr>
          <w:p w:rsidR="00466583" w:rsidRDefault="009D0F62" w:rsidP="000C5673">
            <w:pPr>
              <w:spacing w:line="360" w:lineRule="auto"/>
              <w:jc w:val="right"/>
            </w:pPr>
            <w:r>
              <w:t>32</w:t>
            </w:r>
          </w:p>
        </w:tc>
      </w:tr>
      <w:tr w:rsidR="000C5673" w:rsidRPr="000C5673" w:rsidTr="000C5673">
        <w:tc>
          <w:tcPr>
            <w:tcW w:w="7200" w:type="dxa"/>
          </w:tcPr>
          <w:p w:rsidR="000C5673" w:rsidRPr="000C5673" w:rsidRDefault="000C5673" w:rsidP="00005E27">
            <w:pPr>
              <w:spacing w:line="360" w:lineRule="auto"/>
              <w:rPr>
                <w:b/>
              </w:rPr>
            </w:pPr>
            <w:r w:rsidRPr="000C5673">
              <w:rPr>
                <w:b/>
              </w:rPr>
              <w:t>Totali:</w:t>
            </w:r>
          </w:p>
        </w:tc>
        <w:tc>
          <w:tcPr>
            <w:tcW w:w="1710" w:type="dxa"/>
          </w:tcPr>
          <w:p w:rsidR="000C5673" w:rsidRPr="000C5673" w:rsidRDefault="000C5673" w:rsidP="000C5673">
            <w:pPr>
              <w:spacing w:line="360" w:lineRule="auto"/>
              <w:jc w:val="right"/>
              <w:rPr>
                <w:b/>
              </w:rPr>
            </w:pPr>
            <w:r w:rsidRPr="000C5673">
              <w:rPr>
                <w:b/>
              </w:rPr>
              <w:t>63</w:t>
            </w:r>
          </w:p>
        </w:tc>
        <w:tc>
          <w:tcPr>
            <w:tcW w:w="1170" w:type="dxa"/>
          </w:tcPr>
          <w:p w:rsidR="000C5673" w:rsidRPr="000C5673" w:rsidRDefault="000C5673" w:rsidP="000C5673">
            <w:pPr>
              <w:spacing w:line="360" w:lineRule="auto"/>
              <w:jc w:val="right"/>
              <w:rPr>
                <w:b/>
              </w:rPr>
            </w:pPr>
            <w:r w:rsidRPr="000C5673">
              <w:rPr>
                <w:b/>
              </w:rPr>
              <w:t>20</w:t>
            </w:r>
          </w:p>
        </w:tc>
        <w:tc>
          <w:tcPr>
            <w:tcW w:w="1370" w:type="dxa"/>
          </w:tcPr>
          <w:p w:rsidR="000C5673" w:rsidRPr="000C5673" w:rsidRDefault="000C5673" w:rsidP="000C5673">
            <w:pPr>
              <w:spacing w:line="360" w:lineRule="auto"/>
              <w:jc w:val="right"/>
              <w:rPr>
                <w:b/>
              </w:rPr>
            </w:pPr>
            <w:r w:rsidRPr="000C5673">
              <w:rPr>
                <w:b/>
              </w:rPr>
              <w:t>43</w:t>
            </w:r>
          </w:p>
        </w:tc>
      </w:tr>
    </w:tbl>
    <w:p w:rsidR="002C164F" w:rsidRDefault="002C164F" w:rsidP="00F53961"/>
    <w:p w:rsidR="009565D6" w:rsidRDefault="009565D6" w:rsidP="00F53961"/>
    <w:p w:rsidR="009565D6" w:rsidRDefault="009565D6" w:rsidP="00F53961"/>
    <w:p w:rsidR="009565D6" w:rsidRDefault="009565D6" w:rsidP="00F53961"/>
    <w:p w:rsidR="009565D6" w:rsidRDefault="009565D6" w:rsidP="00F53961"/>
    <w:p w:rsidR="009565D6" w:rsidRDefault="009565D6" w:rsidP="00F53961"/>
    <w:p w:rsidR="009565D6" w:rsidRDefault="009565D6" w:rsidP="00F53961"/>
    <w:p w:rsidR="009565D6" w:rsidRDefault="009565D6" w:rsidP="00F53961"/>
    <w:p w:rsidR="009565D6" w:rsidRDefault="009565D6" w:rsidP="00F53961"/>
    <w:p w:rsidR="009565D6" w:rsidRDefault="009565D6" w:rsidP="00F53961"/>
    <w:p w:rsidR="009565D6" w:rsidRDefault="009565D6" w:rsidP="00F53961"/>
    <w:p w:rsidR="009565D6" w:rsidRDefault="009565D6" w:rsidP="00F53961"/>
    <w:p w:rsidR="009565D6" w:rsidRDefault="009565D6" w:rsidP="00F53961"/>
    <w:p w:rsidR="009565D6" w:rsidRDefault="009565D6" w:rsidP="00F53961"/>
    <w:p w:rsidR="009565D6" w:rsidRDefault="009565D6" w:rsidP="00F53961"/>
    <w:p w:rsidR="009565D6" w:rsidRDefault="009565D6" w:rsidP="00F53961"/>
    <w:p w:rsidR="009565D6" w:rsidRDefault="009565D6" w:rsidP="00F53961"/>
    <w:p w:rsidR="005F4596" w:rsidRDefault="005F4596" w:rsidP="00F53961"/>
    <w:p w:rsidR="00623D00" w:rsidRPr="00D1562E" w:rsidRDefault="00623D00" w:rsidP="00F53961"/>
    <w:p w:rsidR="0053452A" w:rsidRDefault="0053452A" w:rsidP="00F53961">
      <w:pPr>
        <w:rPr>
          <w:b/>
        </w:rPr>
      </w:pPr>
    </w:p>
    <w:p w:rsidR="00F53961" w:rsidRPr="00B2561B" w:rsidRDefault="00F53961" w:rsidP="004A1E89">
      <w:pPr>
        <w:shd w:val="clear" w:color="auto" w:fill="002060"/>
        <w:rPr>
          <w:b/>
          <w:sz w:val="32"/>
          <w:szCs w:val="32"/>
        </w:rPr>
      </w:pPr>
      <w:r w:rsidRPr="00B2561B">
        <w:rPr>
          <w:b/>
          <w:sz w:val="32"/>
          <w:szCs w:val="32"/>
        </w:rPr>
        <w:lastRenderedPageBreak/>
        <w:t xml:space="preserve">Të dhëna për Dëgjime </w:t>
      </w:r>
      <w:r w:rsidR="00984523" w:rsidRPr="00B2561B">
        <w:rPr>
          <w:b/>
          <w:sz w:val="32"/>
          <w:szCs w:val="32"/>
        </w:rPr>
        <w:t>Buxhetore</w:t>
      </w:r>
      <w:r w:rsidRPr="00B2561B">
        <w:rPr>
          <w:b/>
          <w:sz w:val="32"/>
          <w:szCs w:val="32"/>
        </w:rPr>
        <w:t>:</w:t>
      </w:r>
    </w:p>
    <w:p w:rsidR="00FD260A" w:rsidRDefault="00FD260A" w:rsidP="00F53961">
      <w:pPr>
        <w:rPr>
          <w:b/>
        </w:rPr>
      </w:pPr>
    </w:p>
    <w:p w:rsidR="00B36D6C" w:rsidRDefault="00EC124B" w:rsidP="005F4596">
      <w:pPr>
        <w:spacing w:line="276" w:lineRule="auto"/>
        <w:jc w:val="both"/>
        <w:rPr>
          <w:b/>
        </w:rPr>
      </w:pPr>
      <w:r>
        <w:t>Është publikuar me kohë</w:t>
      </w:r>
      <w:r w:rsidR="00FD260A" w:rsidRPr="00FD260A">
        <w:t xml:space="preserve"> Plani i Dëgjimeve Buxhetore për </w:t>
      </w:r>
      <w:r>
        <w:t>buxhetin e vitit 2026. Komuna ka planifikuar ti mbajë 9 dëgjime publike me qytetarë.</w:t>
      </w:r>
      <w:r w:rsidR="00FD260A" w:rsidRPr="00FD260A">
        <w:t>:</w:t>
      </w:r>
      <w:r w:rsidR="00FD260A">
        <w:rPr>
          <w:b/>
        </w:rPr>
        <w:t xml:space="preserve"> </w:t>
      </w:r>
    </w:p>
    <w:p w:rsidR="00971912" w:rsidRDefault="00447ADF" w:rsidP="005F4596">
      <w:pPr>
        <w:spacing w:line="276" w:lineRule="auto"/>
        <w:jc w:val="both"/>
        <w:rPr>
          <w:b/>
        </w:rPr>
      </w:pPr>
      <w:hyperlink r:id="rId12" w:history="1">
        <w:r w:rsidR="00F40411" w:rsidRPr="00F53961">
          <w:rPr>
            <w:rStyle w:val="Hyperlink"/>
            <w:color w:val="0000FF"/>
          </w:rPr>
          <w:t>https://prizren.rks-gov.net/wp-content/uploads/2025/02/Plani-i-Dokumenteve-per-Degjime-Publike-2025-PDF-SCAN.pdf</w:t>
        </w:r>
      </w:hyperlink>
      <w:r w:rsidR="00F40411" w:rsidRPr="00F53961">
        <w:rPr>
          <w:color w:val="0000FF"/>
        </w:rPr>
        <w:t xml:space="preserve"> </w:t>
      </w:r>
      <w:r w:rsidR="00F40411">
        <w:rPr>
          <w:color w:val="0000FF"/>
        </w:rPr>
        <w:t>.</w:t>
      </w:r>
      <w:r w:rsidR="00A83C57">
        <w:rPr>
          <w:b/>
        </w:rPr>
        <w:t xml:space="preserve"> </w:t>
      </w:r>
    </w:p>
    <w:p w:rsidR="005F4596" w:rsidRDefault="005F4596" w:rsidP="005F4596">
      <w:pPr>
        <w:spacing w:line="276" w:lineRule="auto"/>
        <w:jc w:val="both"/>
      </w:pPr>
    </w:p>
    <w:p w:rsidR="00FD260A" w:rsidRDefault="00EC124B" w:rsidP="005F4596">
      <w:pPr>
        <w:spacing w:line="276" w:lineRule="auto"/>
        <w:jc w:val="both"/>
      </w:pPr>
      <w:r>
        <w:t xml:space="preserve">Këtë vit kemi planifikuar të organizojmë 9 dëgjime publike, </w:t>
      </w:r>
      <w:r w:rsidR="00A83C57">
        <w:t xml:space="preserve">mbajtja e dëgjimeve </w:t>
      </w:r>
      <w:r>
        <w:t>nis gjatë</w:t>
      </w:r>
      <w:r w:rsidR="00A83C57">
        <w:t xml:space="preserve"> muaji</w:t>
      </w:r>
      <w:r>
        <w:t>t</w:t>
      </w:r>
      <w:r w:rsidR="00A83C57">
        <w:t xml:space="preserve"> korrik 2025</w:t>
      </w:r>
      <w:r>
        <w:t>. G</w:t>
      </w:r>
      <w:r w:rsidR="00971912">
        <w:t>jithashtu është hartuar edhe plani i veprimi</w:t>
      </w:r>
      <w:r>
        <w:t>t</w:t>
      </w:r>
      <w:r w:rsidR="00971912">
        <w:t xml:space="preserve"> për organizimin e dëgjimeve buxhetore dhe kalendari i dëgjimeve buxhetore</w:t>
      </w:r>
      <w:r w:rsidR="00A83C57">
        <w:t>.</w:t>
      </w:r>
    </w:p>
    <w:p w:rsidR="005F4596" w:rsidRDefault="005F4596" w:rsidP="005F4596">
      <w:pPr>
        <w:spacing w:line="276" w:lineRule="auto"/>
        <w:jc w:val="both"/>
      </w:pPr>
    </w:p>
    <w:p w:rsidR="00971912" w:rsidRDefault="00971912" w:rsidP="005F4596">
      <w:pPr>
        <w:spacing w:line="276" w:lineRule="auto"/>
        <w:jc w:val="both"/>
      </w:pPr>
      <w:r>
        <w:t xml:space="preserve">Plani i veprimit: </w:t>
      </w:r>
    </w:p>
    <w:p w:rsidR="00971912" w:rsidRDefault="00971912" w:rsidP="005F4596">
      <w:pPr>
        <w:spacing w:line="276" w:lineRule="auto"/>
        <w:jc w:val="both"/>
      </w:pPr>
      <w:hyperlink r:id="rId13" w:history="1">
        <w:r w:rsidRPr="00971912">
          <w:rPr>
            <w:rStyle w:val="Hyperlink"/>
            <w:color w:val="0000FF"/>
          </w:rPr>
          <w:t>https://prizren.rks-gov.net/wp-content/uploads/2025/06/Plani-i-veprimit-i-Komuna-se-Prizrenit-per-degjime-buxhetore-per-vitin-2025-PDF-SCAN-1.pdf</w:t>
        </w:r>
      </w:hyperlink>
      <w:r w:rsidRPr="00971912">
        <w:rPr>
          <w:color w:val="0000FF"/>
        </w:rPr>
        <w:t xml:space="preserve"> </w:t>
      </w:r>
    </w:p>
    <w:p w:rsidR="005F4596" w:rsidRDefault="005F4596" w:rsidP="005F4596">
      <w:pPr>
        <w:spacing w:line="276" w:lineRule="auto"/>
        <w:jc w:val="both"/>
      </w:pPr>
    </w:p>
    <w:p w:rsidR="00971912" w:rsidRDefault="00971912" w:rsidP="005F4596">
      <w:pPr>
        <w:spacing w:line="276" w:lineRule="auto"/>
        <w:jc w:val="both"/>
      </w:pPr>
      <w:r>
        <w:t>Kalendari:</w:t>
      </w:r>
      <w:r w:rsidRPr="00971912">
        <w:t xml:space="preserve"> </w:t>
      </w:r>
    </w:p>
    <w:p w:rsidR="00971912" w:rsidRDefault="00971912" w:rsidP="005F4596">
      <w:pPr>
        <w:spacing w:line="276" w:lineRule="auto"/>
        <w:jc w:val="both"/>
        <w:rPr>
          <w:color w:val="0000FF"/>
        </w:rPr>
      </w:pPr>
      <w:hyperlink r:id="rId14" w:history="1">
        <w:r w:rsidRPr="00971912">
          <w:rPr>
            <w:rStyle w:val="Hyperlink"/>
            <w:color w:val="0000FF"/>
          </w:rPr>
          <w:t>https://prizren.rks-gov.net/wp-content/uploads/2025/06/Kalendari-i-degjimeve-buxhetore-publike-me-qytetare-per-buxhetin-e-vitit-2026-final-PDF-SCAN-1.pdf</w:t>
        </w:r>
      </w:hyperlink>
      <w:r w:rsidRPr="00971912">
        <w:rPr>
          <w:color w:val="0000FF"/>
        </w:rPr>
        <w:t xml:space="preserve"> </w:t>
      </w:r>
    </w:p>
    <w:p w:rsidR="00EC124B" w:rsidRDefault="00EC124B" w:rsidP="005F4596">
      <w:pPr>
        <w:spacing w:line="276" w:lineRule="auto"/>
        <w:jc w:val="both"/>
        <w:rPr>
          <w:color w:val="0000FF"/>
        </w:rPr>
      </w:pPr>
    </w:p>
    <w:p w:rsidR="00EC124B" w:rsidRDefault="00EC124B" w:rsidP="005F4596">
      <w:pPr>
        <w:spacing w:line="276" w:lineRule="auto"/>
        <w:jc w:val="both"/>
        <w:rPr>
          <w:color w:val="0000FF"/>
        </w:rPr>
      </w:pPr>
    </w:p>
    <w:p w:rsidR="00EC124B" w:rsidRPr="00EC124B" w:rsidRDefault="00EC124B" w:rsidP="005F4596">
      <w:pPr>
        <w:spacing w:line="276" w:lineRule="auto"/>
        <w:jc w:val="both"/>
      </w:pPr>
      <w:r w:rsidRPr="00EC124B">
        <w:t>Ymer Berisha</w:t>
      </w:r>
    </w:p>
    <w:p w:rsidR="00EC124B" w:rsidRPr="00EC124B" w:rsidRDefault="00EC124B" w:rsidP="005F4596">
      <w:pPr>
        <w:spacing w:line="276" w:lineRule="auto"/>
        <w:jc w:val="both"/>
      </w:pPr>
      <w:r w:rsidRPr="00EC124B">
        <w:t xml:space="preserve"> </w:t>
      </w:r>
    </w:p>
    <w:p w:rsidR="00EC124B" w:rsidRPr="00EC124B" w:rsidRDefault="00EC124B" w:rsidP="005F4596">
      <w:pPr>
        <w:spacing w:line="276" w:lineRule="auto"/>
        <w:jc w:val="both"/>
        <w:rPr>
          <w:b/>
        </w:rPr>
      </w:pPr>
      <w:r w:rsidRPr="00EC124B">
        <w:t>Udhëheqës i Njësisë për Komunikim me Publikun</w:t>
      </w:r>
    </w:p>
    <w:p w:rsidR="00004AB7" w:rsidRDefault="00004AB7" w:rsidP="00D1562E">
      <w:pPr>
        <w:jc w:val="both"/>
      </w:pPr>
    </w:p>
    <w:p w:rsidR="00004AB7" w:rsidRDefault="00004AB7" w:rsidP="00D1562E">
      <w:pPr>
        <w:jc w:val="both"/>
      </w:pPr>
    </w:p>
    <w:p w:rsidR="00004AB7" w:rsidRDefault="00004AB7" w:rsidP="00D1562E">
      <w:pPr>
        <w:jc w:val="both"/>
      </w:pPr>
    </w:p>
    <w:p w:rsidR="00004AB7" w:rsidRDefault="00004AB7" w:rsidP="00D1562E">
      <w:pPr>
        <w:jc w:val="both"/>
      </w:pPr>
    </w:p>
    <w:p w:rsidR="00004AB7" w:rsidRDefault="00004AB7" w:rsidP="00D1562E">
      <w:pPr>
        <w:jc w:val="both"/>
      </w:pPr>
    </w:p>
    <w:p w:rsidR="00004AB7" w:rsidRDefault="00004AB7" w:rsidP="00D1562E">
      <w:pPr>
        <w:jc w:val="both"/>
      </w:pPr>
    </w:p>
    <w:p w:rsidR="00004AB7" w:rsidRDefault="00004AB7" w:rsidP="00D1562E">
      <w:pPr>
        <w:jc w:val="both"/>
      </w:pPr>
    </w:p>
    <w:p w:rsidR="00004AB7" w:rsidRDefault="00004AB7" w:rsidP="00D1562E">
      <w:pPr>
        <w:jc w:val="both"/>
      </w:pPr>
    </w:p>
    <w:p w:rsidR="00004AB7" w:rsidRDefault="00004AB7" w:rsidP="00D1562E">
      <w:pPr>
        <w:jc w:val="both"/>
      </w:pPr>
    </w:p>
    <w:p w:rsidR="00004AB7" w:rsidRDefault="00004AB7" w:rsidP="00D1562E">
      <w:pPr>
        <w:jc w:val="both"/>
      </w:pPr>
    </w:p>
    <w:p w:rsidR="00004AB7" w:rsidRDefault="00004AB7" w:rsidP="00D1562E">
      <w:pPr>
        <w:jc w:val="both"/>
      </w:pPr>
    </w:p>
    <w:p w:rsidR="00004AB7" w:rsidRDefault="00004AB7" w:rsidP="00D1562E">
      <w:pPr>
        <w:jc w:val="both"/>
      </w:pPr>
    </w:p>
    <w:p w:rsidR="00004AB7" w:rsidRDefault="00004AB7" w:rsidP="00D1562E">
      <w:pPr>
        <w:jc w:val="both"/>
      </w:pPr>
    </w:p>
    <w:sectPr w:rsidR="00004AB7">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ADF" w:rsidRDefault="00447ADF" w:rsidP="009D0F62">
      <w:r>
        <w:separator/>
      </w:r>
    </w:p>
  </w:endnote>
  <w:endnote w:type="continuationSeparator" w:id="0">
    <w:p w:rsidR="00447ADF" w:rsidRDefault="00447ADF" w:rsidP="009D0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837233520"/>
      <w:docPartObj>
        <w:docPartGallery w:val="Page Numbers (Bottom of Page)"/>
        <w:docPartUnique/>
      </w:docPartObj>
    </w:sdtPr>
    <w:sdtEndPr>
      <w:rPr>
        <w:noProof/>
      </w:rPr>
    </w:sdtEndPr>
    <w:sdtContent>
      <w:p w:rsidR="00E33133" w:rsidRPr="008E4C90" w:rsidRDefault="00E33133">
        <w:pPr>
          <w:pStyle w:val="Footer"/>
          <w:jc w:val="right"/>
          <w:rPr>
            <w:b/>
          </w:rPr>
        </w:pPr>
        <w:r w:rsidRPr="008E4C90">
          <w:rPr>
            <w:b/>
          </w:rPr>
          <w:fldChar w:fldCharType="begin"/>
        </w:r>
        <w:r w:rsidRPr="008E4C90">
          <w:rPr>
            <w:b/>
          </w:rPr>
          <w:instrText xml:space="preserve"> PAGE   \* MERGEFORMAT </w:instrText>
        </w:r>
        <w:r w:rsidRPr="008E4C90">
          <w:rPr>
            <w:b/>
          </w:rPr>
          <w:fldChar w:fldCharType="separate"/>
        </w:r>
        <w:r w:rsidR="005B3141">
          <w:rPr>
            <w:b/>
            <w:noProof/>
          </w:rPr>
          <w:t>5</w:t>
        </w:r>
        <w:r w:rsidRPr="008E4C90">
          <w:rPr>
            <w:b/>
            <w:noProof/>
          </w:rPr>
          <w:fldChar w:fldCharType="end"/>
        </w:r>
      </w:p>
    </w:sdtContent>
  </w:sdt>
  <w:p w:rsidR="00E33133" w:rsidRDefault="00E33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ADF" w:rsidRDefault="00447ADF" w:rsidP="009D0F62">
      <w:r>
        <w:separator/>
      </w:r>
    </w:p>
  </w:footnote>
  <w:footnote w:type="continuationSeparator" w:id="0">
    <w:p w:rsidR="00447ADF" w:rsidRDefault="00447ADF" w:rsidP="009D0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43121"/>
    <w:multiLevelType w:val="hybridMultilevel"/>
    <w:tmpl w:val="BA54D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64C"/>
    <w:rsid w:val="00004AB7"/>
    <w:rsid w:val="00033F51"/>
    <w:rsid w:val="00042CE7"/>
    <w:rsid w:val="00046B54"/>
    <w:rsid w:val="00072A55"/>
    <w:rsid w:val="000C5673"/>
    <w:rsid w:val="000D1F3F"/>
    <w:rsid w:val="0012022D"/>
    <w:rsid w:val="00124AEA"/>
    <w:rsid w:val="00130319"/>
    <w:rsid w:val="001966E2"/>
    <w:rsid w:val="001B5544"/>
    <w:rsid w:val="001C4A52"/>
    <w:rsid w:val="00210907"/>
    <w:rsid w:val="002463F2"/>
    <w:rsid w:val="002C164F"/>
    <w:rsid w:val="002E74B7"/>
    <w:rsid w:val="002F203B"/>
    <w:rsid w:val="00321156"/>
    <w:rsid w:val="003D5807"/>
    <w:rsid w:val="0040748A"/>
    <w:rsid w:val="004328C5"/>
    <w:rsid w:val="00447ADF"/>
    <w:rsid w:val="00466583"/>
    <w:rsid w:val="004A1E89"/>
    <w:rsid w:val="0053452A"/>
    <w:rsid w:val="00540B2A"/>
    <w:rsid w:val="005A5CD8"/>
    <w:rsid w:val="005B3141"/>
    <w:rsid w:val="005B5EE4"/>
    <w:rsid w:val="005F4596"/>
    <w:rsid w:val="00620694"/>
    <w:rsid w:val="00623D00"/>
    <w:rsid w:val="006A16C3"/>
    <w:rsid w:val="006A2BA3"/>
    <w:rsid w:val="006A3BD0"/>
    <w:rsid w:val="006B27D2"/>
    <w:rsid w:val="006F6FB0"/>
    <w:rsid w:val="00746552"/>
    <w:rsid w:val="007C79D9"/>
    <w:rsid w:val="007D2AB8"/>
    <w:rsid w:val="007E686C"/>
    <w:rsid w:val="008456E2"/>
    <w:rsid w:val="00860A94"/>
    <w:rsid w:val="00861821"/>
    <w:rsid w:val="00877EB7"/>
    <w:rsid w:val="00891615"/>
    <w:rsid w:val="008A4FA0"/>
    <w:rsid w:val="008E35B3"/>
    <w:rsid w:val="008E4C90"/>
    <w:rsid w:val="009565D6"/>
    <w:rsid w:val="00971912"/>
    <w:rsid w:val="00984523"/>
    <w:rsid w:val="0098749E"/>
    <w:rsid w:val="009D0F62"/>
    <w:rsid w:val="009F0A38"/>
    <w:rsid w:val="00A11CCB"/>
    <w:rsid w:val="00A83C57"/>
    <w:rsid w:val="00AC2BCF"/>
    <w:rsid w:val="00AD5024"/>
    <w:rsid w:val="00AE437F"/>
    <w:rsid w:val="00B2561B"/>
    <w:rsid w:val="00B36D6C"/>
    <w:rsid w:val="00B84B68"/>
    <w:rsid w:val="00BA2D25"/>
    <w:rsid w:val="00C01526"/>
    <w:rsid w:val="00C1177F"/>
    <w:rsid w:val="00C214D6"/>
    <w:rsid w:val="00C2264C"/>
    <w:rsid w:val="00C51A2E"/>
    <w:rsid w:val="00C57CDB"/>
    <w:rsid w:val="00C8031A"/>
    <w:rsid w:val="00CA173E"/>
    <w:rsid w:val="00CA50B2"/>
    <w:rsid w:val="00D1562E"/>
    <w:rsid w:val="00D600B4"/>
    <w:rsid w:val="00DA2997"/>
    <w:rsid w:val="00DD59F0"/>
    <w:rsid w:val="00DD6C38"/>
    <w:rsid w:val="00E33133"/>
    <w:rsid w:val="00E644A6"/>
    <w:rsid w:val="00EC124B"/>
    <w:rsid w:val="00F40411"/>
    <w:rsid w:val="00F53961"/>
    <w:rsid w:val="00F6198D"/>
    <w:rsid w:val="00FB6DA9"/>
    <w:rsid w:val="00FB7A64"/>
    <w:rsid w:val="00FD260A"/>
    <w:rsid w:val="00FF60DB"/>
    <w:rsid w:val="00FF6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9346B"/>
  <w15:chartTrackingRefBased/>
  <w15:docId w15:val="{62D943EC-1798-432C-B697-D4AAAE06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961"/>
    <w:pPr>
      <w:spacing w:after="0" w:line="240" w:lineRule="auto"/>
    </w:pPr>
    <w:rPr>
      <w:rFonts w:ascii="Times New Roman" w:eastAsia="Times New Roman" w:hAnsi="Times New Roman" w:cs="Times New Roman"/>
      <w:sz w:val="24"/>
      <w:szCs w:val="24"/>
      <w:lang w:val="sq-AL" w:eastAsia="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3961"/>
    <w:pPr>
      <w:spacing w:after="0" w:line="240" w:lineRule="auto"/>
    </w:pPr>
  </w:style>
  <w:style w:type="character" w:styleId="Hyperlink">
    <w:name w:val="Hyperlink"/>
    <w:basedOn w:val="DefaultParagraphFont"/>
    <w:uiPriority w:val="99"/>
    <w:unhideWhenUsed/>
    <w:rsid w:val="00F53961"/>
    <w:rPr>
      <w:color w:val="0563C1" w:themeColor="hyperlink"/>
      <w:u w:val="single"/>
    </w:rPr>
  </w:style>
  <w:style w:type="table" w:styleId="TableGrid">
    <w:name w:val="Table Grid"/>
    <w:basedOn w:val="TableNormal"/>
    <w:uiPriority w:val="39"/>
    <w:rsid w:val="00FD2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66E2"/>
    <w:pPr>
      <w:ind w:left="720"/>
      <w:contextualSpacing/>
    </w:pPr>
  </w:style>
  <w:style w:type="paragraph" w:styleId="Header">
    <w:name w:val="header"/>
    <w:basedOn w:val="Normal"/>
    <w:link w:val="HeaderChar"/>
    <w:uiPriority w:val="99"/>
    <w:unhideWhenUsed/>
    <w:rsid w:val="009D0F62"/>
    <w:pPr>
      <w:tabs>
        <w:tab w:val="center" w:pos="4680"/>
        <w:tab w:val="right" w:pos="9360"/>
      </w:tabs>
    </w:pPr>
  </w:style>
  <w:style w:type="character" w:customStyle="1" w:styleId="HeaderChar">
    <w:name w:val="Header Char"/>
    <w:basedOn w:val="DefaultParagraphFont"/>
    <w:link w:val="Header"/>
    <w:uiPriority w:val="99"/>
    <w:rsid w:val="009D0F62"/>
    <w:rPr>
      <w:rFonts w:ascii="Times New Roman" w:eastAsia="Times New Roman" w:hAnsi="Times New Roman" w:cs="Times New Roman"/>
      <w:sz w:val="24"/>
      <w:szCs w:val="24"/>
      <w:lang w:val="sq-AL" w:eastAsia="sq-AL"/>
    </w:rPr>
  </w:style>
  <w:style w:type="paragraph" w:styleId="Footer">
    <w:name w:val="footer"/>
    <w:basedOn w:val="Normal"/>
    <w:link w:val="FooterChar"/>
    <w:uiPriority w:val="99"/>
    <w:unhideWhenUsed/>
    <w:rsid w:val="009D0F62"/>
    <w:pPr>
      <w:tabs>
        <w:tab w:val="center" w:pos="4680"/>
        <w:tab w:val="right" w:pos="9360"/>
      </w:tabs>
    </w:pPr>
  </w:style>
  <w:style w:type="character" w:customStyle="1" w:styleId="FooterChar">
    <w:name w:val="Footer Char"/>
    <w:basedOn w:val="DefaultParagraphFont"/>
    <w:link w:val="Footer"/>
    <w:uiPriority w:val="99"/>
    <w:rsid w:val="009D0F62"/>
    <w:rPr>
      <w:rFonts w:ascii="Times New Roman" w:eastAsia="Times New Roman" w:hAnsi="Times New Roman" w:cs="Times New Roman"/>
      <w:sz w:val="24"/>
      <w:szCs w:val="24"/>
      <w:lang w:val="sq-AL" w:eastAsia="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rizren.rks-gov.net/wp-content/uploads/2025/06/Plani-i-veprimit-i-Komuna-se-Prizrenit-per-degjime-buxhetore-per-vitin-2025-PDF-SCAN-1.pdf"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prizren.rks-gov.net/wp-content/uploads/2025/02/Plani-i-Dokumenteve-per-Degjime-Publike-2025-PDF-SCA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izren.rks-gov.net/wp-content/uploads/2025/05/Plani-i-Takimeve-Publike-per-Vitin-2025-PDF-SCAN.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rizren.rks-gov.net/wp-content/uploads/2025/04/Kalendari-i-takimeve-publike-per-Buxhetim-me-Pjesemarrje-per-vitin-2025-Shq-Bosh-Tur.pdf" TargetMode="External"/><Relationship Id="rId4" Type="http://schemas.openxmlformats.org/officeDocument/2006/relationships/webSettings" Target="webSettings.xml"/><Relationship Id="rId9" Type="http://schemas.openxmlformats.org/officeDocument/2006/relationships/hyperlink" Target="https://prizren.rks-gov.net/wp-content/uploads/2025/01/Plani-i-konsultimeve-publike-me-qytetare-per-vitin-2025-PDF-SCAN.pdf" TargetMode="External"/><Relationship Id="rId14" Type="http://schemas.openxmlformats.org/officeDocument/2006/relationships/hyperlink" Target="https://prizren.rks-gov.net/wp-content/uploads/2025/06/Kalendari-i-degjimeve-buxhetore-publike-me-qytetare-per-buxhetin-e-vitit-2026-final-PDF-SCAN-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Haziz Krasniqi</dc:creator>
  <cp:keywords/>
  <dc:description/>
  <cp:lastModifiedBy>Haziz Krasniqi</cp:lastModifiedBy>
  <cp:revision>2</cp:revision>
  <cp:lastPrinted>2025-07-07T08:38:00Z</cp:lastPrinted>
  <dcterms:created xsi:type="dcterms:W3CDTF">2025-07-07T08:48:00Z</dcterms:created>
  <dcterms:modified xsi:type="dcterms:W3CDTF">2025-07-07T08:48:00Z</dcterms:modified>
</cp:coreProperties>
</file>