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2B" w:rsidRPr="00BD4554" w:rsidRDefault="00901F2B" w:rsidP="00901F2B">
      <w:pPr>
        <w:tabs>
          <w:tab w:val="center" w:pos="4590"/>
        </w:tabs>
        <w:rPr>
          <w:b/>
          <w:bCs/>
          <w:color w:val="0000FF"/>
          <w:sz w:val="20"/>
          <w:szCs w:val="20"/>
        </w:rPr>
      </w:pPr>
      <w:r w:rsidRPr="00BD4554">
        <w:rPr>
          <w:noProof/>
          <w:color w:val="0000FF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619F36C" wp14:editId="5C9C6BF2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4554">
        <w:rPr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BD4554">
        <w:rPr>
          <w:color w:val="0000FF"/>
          <w:sz w:val="20"/>
          <w:szCs w:val="20"/>
        </w:rPr>
        <w:t xml:space="preserve">       </w:t>
      </w:r>
      <w:r w:rsidR="00F14983" w:rsidRPr="00BD4554">
        <w:rPr>
          <w:color w:val="0000FF"/>
          <w:sz w:val="20"/>
          <w:szCs w:val="20"/>
        </w:rPr>
        <w:t xml:space="preserve">           </w:t>
      </w:r>
      <w:r w:rsidRPr="00BD4554">
        <w:rPr>
          <w:color w:val="0000FF"/>
          <w:sz w:val="20"/>
          <w:szCs w:val="20"/>
        </w:rPr>
        <w:t xml:space="preserve">          </w:t>
      </w:r>
      <w:r w:rsidR="00F14983" w:rsidRPr="00BD4554">
        <w:rPr>
          <w:b/>
          <w:bCs/>
          <w:noProof/>
          <w:color w:val="0000FF"/>
          <w:sz w:val="20"/>
          <w:szCs w:val="20"/>
          <w:lang w:val="en-US"/>
        </w:rPr>
        <w:drawing>
          <wp:inline distT="0" distB="0" distL="0" distR="0" wp14:anchorId="234BAB0D" wp14:editId="28EDE5CB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4554">
        <w:rPr>
          <w:color w:val="0000FF"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901F2B" w:rsidRPr="00BD4554" w:rsidRDefault="00901F2B" w:rsidP="00901F2B">
      <w:pPr>
        <w:jc w:val="both"/>
        <w:rPr>
          <w:b/>
          <w:bCs/>
          <w:color w:val="0000FF"/>
          <w:sz w:val="20"/>
          <w:szCs w:val="20"/>
        </w:rPr>
      </w:pPr>
    </w:p>
    <w:p w:rsidR="00901F2B" w:rsidRPr="00BD4554" w:rsidRDefault="00901F2B" w:rsidP="00901F2B">
      <w:pPr>
        <w:jc w:val="both"/>
        <w:rPr>
          <w:b/>
          <w:bCs/>
          <w:color w:val="0000FF"/>
          <w:sz w:val="20"/>
          <w:szCs w:val="20"/>
        </w:rPr>
      </w:pPr>
      <w:r w:rsidRPr="00BD4554">
        <w:rPr>
          <w:b/>
          <w:bCs/>
          <w:color w:val="0000FF"/>
          <w:sz w:val="20"/>
          <w:szCs w:val="20"/>
        </w:rPr>
        <w:t xml:space="preserve">Republika e Kosovës                                                                                     </w:t>
      </w:r>
      <w:r w:rsidR="00F14983" w:rsidRPr="00BD4554">
        <w:rPr>
          <w:b/>
          <w:bCs/>
          <w:color w:val="0000FF"/>
          <w:sz w:val="20"/>
          <w:szCs w:val="20"/>
        </w:rPr>
        <w:t xml:space="preserve">                                    </w:t>
      </w:r>
      <w:r w:rsidRPr="00BD4554">
        <w:rPr>
          <w:b/>
          <w:bCs/>
          <w:color w:val="0000FF"/>
          <w:sz w:val="20"/>
          <w:szCs w:val="20"/>
        </w:rPr>
        <w:t xml:space="preserve"> Komuna e Prizrenit</w:t>
      </w:r>
    </w:p>
    <w:p w:rsidR="00F14983" w:rsidRPr="00BD4554" w:rsidRDefault="00901F2B" w:rsidP="00901F2B">
      <w:pPr>
        <w:pBdr>
          <w:bottom w:val="single" w:sz="4" w:space="1" w:color="auto"/>
        </w:pBdr>
        <w:jc w:val="both"/>
        <w:rPr>
          <w:b/>
          <w:bCs/>
          <w:color w:val="0000FF"/>
          <w:sz w:val="20"/>
          <w:szCs w:val="20"/>
        </w:rPr>
      </w:pPr>
      <w:r w:rsidRPr="00BD4554">
        <w:rPr>
          <w:b/>
          <w:bCs/>
          <w:color w:val="0000FF"/>
          <w:sz w:val="20"/>
          <w:szCs w:val="20"/>
        </w:rPr>
        <w:t>Republika Kosova</w:t>
      </w:r>
      <w:r w:rsidR="00F14983" w:rsidRPr="00BD4554">
        <w:rPr>
          <w:b/>
          <w:bCs/>
          <w:color w:val="0000FF"/>
          <w:sz w:val="20"/>
          <w:szCs w:val="20"/>
        </w:rPr>
        <w:t xml:space="preserve">                                                                                                                         Opština Prizren</w:t>
      </w:r>
    </w:p>
    <w:p w:rsidR="00F14983" w:rsidRPr="00BD4554" w:rsidRDefault="00F14983" w:rsidP="00901F2B">
      <w:pPr>
        <w:pBdr>
          <w:bottom w:val="single" w:sz="4" w:space="1" w:color="auto"/>
        </w:pBdr>
        <w:jc w:val="both"/>
        <w:rPr>
          <w:b/>
          <w:bCs/>
          <w:color w:val="0000FF"/>
          <w:sz w:val="20"/>
          <w:szCs w:val="20"/>
        </w:rPr>
      </w:pPr>
      <w:r w:rsidRPr="00BD4554">
        <w:rPr>
          <w:b/>
          <w:bCs/>
          <w:color w:val="0000FF"/>
          <w:sz w:val="20"/>
          <w:szCs w:val="20"/>
        </w:rPr>
        <w:t xml:space="preserve">Kosova Cumhuriyeti                                                                                                                    Prizren Belediyesi                 </w:t>
      </w:r>
    </w:p>
    <w:p w:rsidR="00F14983" w:rsidRPr="00BD4554" w:rsidRDefault="00F14983" w:rsidP="00901F2B">
      <w:pPr>
        <w:pBdr>
          <w:bottom w:val="single" w:sz="4" w:space="1" w:color="auto"/>
        </w:pBdr>
        <w:jc w:val="both"/>
        <w:rPr>
          <w:b/>
          <w:bCs/>
          <w:color w:val="0000FF"/>
          <w:sz w:val="20"/>
          <w:szCs w:val="20"/>
        </w:rPr>
      </w:pPr>
    </w:p>
    <w:p w:rsidR="00901F2B" w:rsidRPr="00BD4554" w:rsidRDefault="00901F2B" w:rsidP="00901F2B">
      <w:pPr>
        <w:jc w:val="both"/>
        <w:rPr>
          <w:sz w:val="20"/>
          <w:szCs w:val="20"/>
        </w:rPr>
      </w:pPr>
    </w:p>
    <w:p w:rsidR="00901F2B" w:rsidRPr="00BD4554" w:rsidRDefault="00901F2B" w:rsidP="00901F2B">
      <w:pPr>
        <w:jc w:val="both"/>
        <w:rPr>
          <w:sz w:val="20"/>
          <w:szCs w:val="20"/>
        </w:rPr>
      </w:pPr>
    </w:p>
    <w:p w:rsidR="00901F2B" w:rsidRPr="00BD4554" w:rsidRDefault="00901F2B" w:rsidP="00FD5B5F">
      <w:pPr>
        <w:spacing w:line="360" w:lineRule="auto"/>
        <w:jc w:val="both"/>
        <w:rPr>
          <w:b/>
          <w:color w:val="000000"/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F14983" w:rsidRPr="00BD4554" w:rsidRDefault="00F14983" w:rsidP="00FD5B5F">
      <w:pPr>
        <w:spacing w:line="360" w:lineRule="auto"/>
        <w:jc w:val="center"/>
        <w:rPr>
          <w:b/>
          <w:sz w:val="20"/>
          <w:szCs w:val="20"/>
        </w:rPr>
      </w:pPr>
    </w:p>
    <w:p w:rsidR="006B4AEA" w:rsidRPr="00BD4554" w:rsidRDefault="00901F2B" w:rsidP="00FD5B5F">
      <w:pPr>
        <w:spacing w:line="360" w:lineRule="auto"/>
        <w:jc w:val="center"/>
        <w:rPr>
          <w:b/>
          <w:sz w:val="28"/>
          <w:szCs w:val="28"/>
        </w:rPr>
      </w:pPr>
      <w:r w:rsidRPr="00BD4554">
        <w:rPr>
          <w:b/>
          <w:sz w:val="28"/>
          <w:szCs w:val="28"/>
        </w:rPr>
        <w:t xml:space="preserve">Procesverbali i </w:t>
      </w:r>
      <w:r w:rsidR="006B4AEA" w:rsidRPr="00BD4554">
        <w:rPr>
          <w:b/>
          <w:sz w:val="28"/>
          <w:szCs w:val="28"/>
        </w:rPr>
        <w:t xml:space="preserve">takimit të dytë </w:t>
      </w:r>
      <w:r w:rsidRPr="00BD4554">
        <w:rPr>
          <w:b/>
          <w:sz w:val="28"/>
          <w:szCs w:val="28"/>
        </w:rPr>
        <w:t xml:space="preserve">publik me qytetarë për </w:t>
      </w:r>
      <w:r w:rsidR="006B4AEA" w:rsidRPr="00BD4554">
        <w:rPr>
          <w:b/>
          <w:sz w:val="28"/>
          <w:szCs w:val="28"/>
        </w:rPr>
        <w:t xml:space="preserve">raportin e punës </w:t>
      </w:r>
      <w:r w:rsidR="00917FA9" w:rsidRPr="00BD4554">
        <w:rPr>
          <w:b/>
          <w:sz w:val="28"/>
          <w:szCs w:val="28"/>
        </w:rPr>
        <w:t>për periudhën Janar-D</w:t>
      </w:r>
      <w:r w:rsidR="00C72733">
        <w:rPr>
          <w:b/>
          <w:sz w:val="28"/>
          <w:szCs w:val="28"/>
        </w:rPr>
        <w:t>hjetor 2025</w:t>
      </w:r>
    </w:p>
    <w:p w:rsidR="006B4AEA" w:rsidRPr="00BD4554" w:rsidRDefault="006B4AEA" w:rsidP="00FD5B5F">
      <w:pPr>
        <w:spacing w:line="360" w:lineRule="auto"/>
        <w:jc w:val="center"/>
        <w:rPr>
          <w:b/>
          <w:sz w:val="20"/>
          <w:szCs w:val="20"/>
        </w:rPr>
      </w:pPr>
    </w:p>
    <w:p w:rsidR="00901F2B" w:rsidRPr="00BD4554" w:rsidRDefault="00901F2B" w:rsidP="00FD5B5F">
      <w:pPr>
        <w:spacing w:line="360" w:lineRule="auto"/>
        <w:jc w:val="both"/>
        <w:rPr>
          <w:color w:val="000000"/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F14983" w:rsidRPr="00BD4554" w:rsidRDefault="00F14983" w:rsidP="00FD5B5F">
      <w:pPr>
        <w:spacing w:line="360" w:lineRule="auto"/>
        <w:jc w:val="both"/>
        <w:rPr>
          <w:sz w:val="20"/>
          <w:szCs w:val="20"/>
          <w:shd w:val="clear" w:color="auto" w:fill="FFFFFF"/>
        </w:rPr>
      </w:pPr>
    </w:p>
    <w:p w:rsidR="006B4AEA" w:rsidRPr="00DC3370" w:rsidRDefault="00BF17A7" w:rsidP="00E25B0A">
      <w:pPr>
        <w:spacing w:line="360" w:lineRule="auto"/>
        <w:jc w:val="both"/>
        <w:rPr>
          <w:shd w:val="clear" w:color="auto" w:fill="FFFFFF"/>
        </w:rPr>
      </w:pPr>
      <w:r w:rsidRPr="00DC3370">
        <w:rPr>
          <w:shd w:val="clear" w:color="auto" w:fill="FFFFFF"/>
        </w:rPr>
        <w:lastRenderedPageBreak/>
        <w:t>Takimi</w:t>
      </w:r>
      <w:r w:rsidR="00901F2B" w:rsidRPr="00DC3370">
        <w:rPr>
          <w:shd w:val="clear" w:color="auto" w:fill="FFFFFF"/>
        </w:rPr>
        <w:t xml:space="preserve"> publik me qytetarë është organizuar nga </w:t>
      </w:r>
      <w:r w:rsidR="006B4AEA" w:rsidRPr="00DC3370">
        <w:rPr>
          <w:shd w:val="clear" w:color="auto" w:fill="FFFFFF"/>
        </w:rPr>
        <w:t>kryetari i komunës, Shaqir Totaj, drejtorët e drejtorive komunale,</w:t>
      </w:r>
      <w:r w:rsidR="00F14983" w:rsidRPr="00DC3370">
        <w:rPr>
          <w:shd w:val="clear" w:color="auto" w:fill="FFFFFF"/>
        </w:rPr>
        <w:t xml:space="preserve"> ky takim është bazuar </w:t>
      </w:r>
      <w:r w:rsidR="006B4AEA" w:rsidRPr="00DC3370">
        <w:rPr>
          <w:shd w:val="clear" w:color="auto" w:fill="FFFFFF"/>
        </w:rPr>
        <w:t xml:space="preserve">në </w:t>
      </w:r>
      <w:r w:rsidR="006B4AEA" w:rsidRPr="00DC3370">
        <w:t>Ligjin Nr. 03/L-040 për Vetëqeverisjen Lokale, nenit 92 të Statutit të Komunës së Prizrenit me Nr. 01/011-5643</w:t>
      </w:r>
      <w:r w:rsidR="006B4AEA" w:rsidRPr="00DC3370">
        <w:rPr>
          <w:shd w:val="clear" w:color="auto" w:fill="FFFFFF"/>
        </w:rPr>
        <w:t>.</w:t>
      </w:r>
    </w:p>
    <w:p w:rsidR="00F14983" w:rsidRPr="00DC3370" w:rsidRDefault="00F14983" w:rsidP="00E25B0A">
      <w:pPr>
        <w:spacing w:line="360" w:lineRule="auto"/>
        <w:jc w:val="both"/>
        <w:rPr>
          <w:shd w:val="clear" w:color="auto" w:fill="FFFFFF"/>
        </w:rPr>
      </w:pPr>
    </w:p>
    <w:p w:rsidR="006B4AEA" w:rsidRPr="00DC3370" w:rsidRDefault="00F14983" w:rsidP="00E25B0A">
      <w:pPr>
        <w:spacing w:line="360" w:lineRule="auto"/>
        <w:jc w:val="both"/>
        <w:rPr>
          <w:b/>
          <w:shd w:val="clear" w:color="auto" w:fill="FFFFFF"/>
        </w:rPr>
      </w:pPr>
      <w:r w:rsidRPr="00DC3370">
        <w:rPr>
          <w:b/>
          <w:shd w:val="clear" w:color="auto" w:fill="FFFFFF"/>
        </w:rPr>
        <w:t>Publikimet:</w:t>
      </w:r>
    </w:p>
    <w:p w:rsidR="00F14983" w:rsidRPr="00DC3370" w:rsidRDefault="00F14983" w:rsidP="00E25B0A">
      <w:pPr>
        <w:spacing w:line="360" w:lineRule="auto"/>
        <w:jc w:val="both"/>
        <w:rPr>
          <w:shd w:val="clear" w:color="auto" w:fill="FFFFFF"/>
        </w:rPr>
      </w:pPr>
    </w:p>
    <w:p w:rsidR="00271871" w:rsidRPr="00DC3370" w:rsidRDefault="00F14983" w:rsidP="00E25B0A">
      <w:pPr>
        <w:spacing w:line="360" w:lineRule="auto"/>
        <w:jc w:val="both"/>
      </w:pPr>
      <w:r w:rsidRPr="00DC3370">
        <w:rPr>
          <w:b/>
        </w:rPr>
        <w:t xml:space="preserve">-Me </w:t>
      </w:r>
      <w:r w:rsidR="00504EBB">
        <w:rPr>
          <w:b/>
        </w:rPr>
        <w:t>16</w:t>
      </w:r>
      <w:r w:rsidR="00C72733" w:rsidRPr="00DC3370">
        <w:rPr>
          <w:b/>
        </w:rPr>
        <w:t>.12.2025</w:t>
      </w:r>
      <w:r w:rsidR="00271871" w:rsidRPr="00DC3370">
        <w:rPr>
          <w:b/>
        </w:rPr>
        <w:t xml:space="preserve">, </w:t>
      </w:r>
      <w:proofErr w:type="spellStart"/>
      <w:r w:rsidR="00271871" w:rsidRPr="00DC3370">
        <w:t>konform</w:t>
      </w:r>
      <w:proofErr w:type="spellEnd"/>
      <w:r w:rsidR="00271871" w:rsidRPr="00DC3370">
        <w:t xml:space="preserve"> afateve ligjore janë publikuar njoftimit në webfaqen zyrtare të komunës, në platformën e konsultimeve publike si dhe në rrjetin social facebook.</w:t>
      </w:r>
    </w:p>
    <w:p w:rsidR="00271871" w:rsidRDefault="00271871" w:rsidP="00E25B0A">
      <w:pPr>
        <w:spacing w:line="360" w:lineRule="auto"/>
        <w:jc w:val="both"/>
      </w:pPr>
      <w:r w:rsidRPr="00DC3370">
        <w:t xml:space="preserve">Në </w:t>
      </w:r>
      <w:proofErr w:type="spellStart"/>
      <w:r w:rsidRPr="00DC3370">
        <w:t>webfaqe</w:t>
      </w:r>
      <w:proofErr w:type="spellEnd"/>
      <w:r w:rsidRPr="00DC3370">
        <w:t>:</w:t>
      </w:r>
    </w:p>
    <w:p w:rsidR="00504EBB" w:rsidRPr="00504EBB" w:rsidRDefault="0047799D" w:rsidP="00E25B0A">
      <w:pPr>
        <w:spacing w:line="360" w:lineRule="auto"/>
        <w:jc w:val="both"/>
        <w:rPr>
          <w:i/>
          <w:color w:val="0000FF"/>
          <w:u w:val="single"/>
        </w:rPr>
      </w:pPr>
      <w:hyperlink r:id="rId10" w:history="1">
        <w:r w:rsidR="00504EBB" w:rsidRPr="00504EBB">
          <w:rPr>
            <w:rStyle w:val="Hyperlink"/>
            <w:i w:val="0"/>
            <w:color w:val="0000FF"/>
            <w:u w:val="single"/>
          </w:rPr>
          <w:t>https://prizren.rks-gov.net/wp-content/uploads/2025/12/Njoftim-per-mbajtjen-e-TAKIMIT-TE-DYTE-publik-me-qytetare.pdf</w:t>
        </w:r>
      </w:hyperlink>
      <w:r w:rsidR="00504EBB" w:rsidRPr="00504EBB">
        <w:rPr>
          <w:i/>
          <w:color w:val="0000FF"/>
          <w:u w:val="single"/>
        </w:rPr>
        <w:t xml:space="preserve"> </w:t>
      </w:r>
    </w:p>
    <w:p w:rsidR="00504EBB" w:rsidRPr="00DC3370" w:rsidRDefault="00504EBB" w:rsidP="00E25B0A">
      <w:pPr>
        <w:spacing w:line="360" w:lineRule="auto"/>
        <w:jc w:val="both"/>
      </w:pPr>
    </w:p>
    <w:p w:rsidR="00504EBB" w:rsidRPr="00820413" w:rsidRDefault="00504EBB" w:rsidP="00E25B0A">
      <w:pPr>
        <w:spacing w:line="360" w:lineRule="auto"/>
        <w:jc w:val="both"/>
      </w:pPr>
    </w:p>
    <w:p w:rsidR="00271871" w:rsidRPr="00820413" w:rsidRDefault="00271871" w:rsidP="00E25B0A">
      <w:pPr>
        <w:spacing w:line="360" w:lineRule="auto"/>
        <w:jc w:val="both"/>
        <w:rPr>
          <w:rFonts w:eastAsiaTheme="minorHAnsi"/>
          <w:lang w:val="en-US"/>
        </w:rPr>
      </w:pPr>
      <w:r w:rsidRPr="00820413">
        <w:t xml:space="preserve">Në </w:t>
      </w:r>
      <w:proofErr w:type="spellStart"/>
      <w:r w:rsidRPr="00820413">
        <w:t>facebook</w:t>
      </w:r>
      <w:proofErr w:type="spellEnd"/>
      <w:r w:rsidRPr="00820413">
        <w:t>:</w:t>
      </w:r>
    </w:p>
    <w:p w:rsidR="00271871" w:rsidRDefault="00271871" w:rsidP="00E25B0A">
      <w:pPr>
        <w:spacing w:line="360" w:lineRule="auto"/>
        <w:jc w:val="both"/>
      </w:pPr>
      <w:r w:rsidRPr="00DC3370">
        <w:rPr>
          <w:rFonts w:eastAsiaTheme="minorHAnsi"/>
          <w:color w:val="0000FF"/>
          <w:lang w:val="en-US"/>
        </w:rPr>
        <w:t xml:space="preserve"> </w:t>
      </w:r>
    </w:p>
    <w:p w:rsidR="00504EBB" w:rsidRPr="00820413" w:rsidRDefault="0047799D" w:rsidP="00E25B0A">
      <w:pPr>
        <w:spacing w:line="360" w:lineRule="auto"/>
        <w:jc w:val="both"/>
        <w:rPr>
          <w:rFonts w:eastAsiaTheme="minorHAnsi"/>
          <w:i/>
          <w:color w:val="0000FF"/>
          <w:u w:val="single"/>
          <w:lang w:val="en-US"/>
        </w:rPr>
      </w:pPr>
      <w:hyperlink r:id="rId11" w:history="1">
        <w:r w:rsidR="00820413" w:rsidRPr="00820413">
          <w:rPr>
            <w:rStyle w:val="Hyperlink"/>
            <w:rFonts w:eastAsiaTheme="minorHAnsi"/>
            <w:i w:val="0"/>
            <w:color w:val="0000FF"/>
            <w:u w:val="single"/>
            <w:lang w:val="en-US"/>
          </w:rPr>
          <w:t>https://www.facebook.com/share/p/1XQdThXc1F/</w:t>
        </w:r>
      </w:hyperlink>
      <w:r w:rsidR="00820413" w:rsidRPr="00820413">
        <w:rPr>
          <w:rFonts w:eastAsiaTheme="minorHAnsi"/>
          <w:i/>
          <w:color w:val="0000FF"/>
          <w:u w:val="single"/>
          <w:lang w:val="en-US"/>
        </w:rPr>
        <w:t xml:space="preserve"> </w:t>
      </w:r>
    </w:p>
    <w:p w:rsidR="00504EBB" w:rsidRDefault="00504EBB" w:rsidP="00E25B0A">
      <w:pPr>
        <w:spacing w:line="360" w:lineRule="auto"/>
        <w:jc w:val="both"/>
      </w:pPr>
    </w:p>
    <w:p w:rsidR="00271871" w:rsidRPr="00DC3370" w:rsidRDefault="00271871" w:rsidP="00E25B0A">
      <w:pPr>
        <w:spacing w:line="360" w:lineRule="auto"/>
        <w:jc w:val="both"/>
        <w:rPr>
          <w:color w:val="0000FF"/>
          <w:u w:val="single"/>
        </w:rPr>
      </w:pPr>
      <w:r w:rsidRPr="00DC3370">
        <w:t>Në platformë:</w:t>
      </w:r>
    </w:p>
    <w:p w:rsidR="00271871" w:rsidRDefault="00271871" w:rsidP="00E25B0A">
      <w:pPr>
        <w:spacing w:line="360" w:lineRule="auto"/>
        <w:jc w:val="both"/>
      </w:pPr>
    </w:p>
    <w:p w:rsidR="00504EBB" w:rsidRPr="0036365B" w:rsidRDefault="0047799D" w:rsidP="00E25B0A">
      <w:pPr>
        <w:spacing w:line="360" w:lineRule="auto"/>
        <w:jc w:val="both"/>
        <w:rPr>
          <w:i/>
          <w:color w:val="0000FF"/>
          <w:u w:val="single"/>
        </w:rPr>
      </w:pPr>
      <w:hyperlink r:id="rId12" w:history="1">
        <w:r w:rsidR="0036365B" w:rsidRPr="0036365B">
          <w:rPr>
            <w:rStyle w:val="Hyperlink"/>
            <w:i w:val="0"/>
            <w:color w:val="0000FF"/>
            <w:u w:val="single"/>
          </w:rPr>
          <w:t>https://konsultimet.rks-gov.net/viewConsult.php?ConsultationID=42956</w:t>
        </w:r>
      </w:hyperlink>
      <w:r w:rsidR="0036365B" w:rsidRPr="0036365B">
        <w:rPr>
          <w:i/>
          <w:color w:val="0000FF"/>
          <w:u w:val="single"/>
        </w:rPr>
        <w:t xml:space="preserve"> </w:t>
      </w:r>
    </w:p>
    <w:p w:rsidR="0036365B" w:rsidRDefault="0036365B" w:rsidP="00E25B0A">
      <w:pPr>
        <w:spacing w:line="360" w:lineRule="auto"/>
        <w:jc w:val="both"/>
      </w:pPr>
    </w:p>
    <w:p w:rsidR="00294E13" w:rsidRDefault="00294E13" w:rsidP="00E25B0A">
      <w:pPr>
        <w:spacing w:line="360" w:lineRule="auto"/>
        <w:jc w:val="both"/>
      </w:pPr>
      <w:r w:rsidRPr="00DC3370">
        <w:t>Njoftimi si lajm:</w:t>
      </w:r>
    </w:p>
    <w:p w:rsidR="00504EBB" w:rsidRPr="00504EBB" w:rsidRDefault="0047799D" w:rsidP="00E25B0A">
      <w:pPr>
        <w:spacing w:line="360" w:lineRule="auto"/>
        <w:jc w:val="both"/>
        <w:rPr>
          <w:i/>
          <w:color w:val="0000FF"/>
          <w:u w:val="single"/>
        </w:rPr>
      </w:pPr>
      <w:hyperlink r:id="rId13" w:history="1">
        <w:r w:rsidR="00504EBB" w:rsidRPr="00504EBB">
          <w:rPr>
            <w:rStyle w:val="Hyperlink"/>
            <w:i w:val="0"/>
            <w:color w:val="0000FF"/>
            <w:u w:val="single"/>
          </w:rPr>
          <w:t>https://prizren.rks-gov.net/news/njoftim-per-mbajtjen-e-takimit-te-dyte-publik-te-kryetarit-te-komunes-se-prizrenit-shaqir-totaj/</w:t>
        </w:r>
      </w:hyperlink>
      <w:r w:rsidR="00504EBB" w:rsidRPr="00504EBB">
        <w:rPr>
          <w:i/>
          <w:color w:val="0000FF"/>
          <w:u w:val="single"/>
        </w:rPr>
        <w:t xml:space="preserve"> </w:t>
      </w:r>
    </w:p>
    <w:p w:rsidR="00294E13" w:rsidRDefault="00294E13" w:rsidP="00E25B0A">
      <w:pPr>
        <w:spacing w:line="360" w:lineRule="auto"/>
        <w:jc w:val="both"/>
        <w:rPr>
          <w:color w:val="FF0000"/>
          <w:u w:val="single"/>
        </w:rPr>
      </w:pPr>
    </w:p>
    <w:p w:rsidR="00504EBB" w:rsidRDefault="00BD674B" w:rsidP="00E25B0A">
      <w:pPr>
        <w:spacing w:line="360" w:lineRule="auto"/>
        <w:jc w:val="both"/>
      </w:pPr>
      <w:r w:rsidRPr="00BD674B">
        <w:t>Lajmi për mbajtjen e takimit:</w:t>
      </w:r>
    </w:p>
    <w:p w:rsidR="00BD674B" w:rsidRPr="00BD674B" w:rsidRDefault="0047799D" w:rsidP="00E25B0A">
      <w:pPr>
        <w:spacing w:line="360" w:lineRule="auto"/>
        <w:jc w:val="both"/>
        <w:rPr>
          <w:i/>
          <w:color w:val="0000FF"/>
          <w:u w:val="single"/>
        </w:rPr>
      </w:pPr>
      <w:hyperlink r:id="rId14" w:history="1">
        <w:r w:rsidR="00BD674B" w:rsidRPr="00BD674B">
          <w:rPr>
            <w:rStyle w:val="Hyperlink"/>
            <w:i w:val="0"/>
            <w:color w:val="0000FF"/>
            <w:u w:val="single"/>
          </w:rPr>
          <w:t>https://prizren.rks-gov.net/news/takimi-i-dyte-publik-i-kryetarit-shaqir-totaj-me-qytetaret-per-vitin-2025/</w:t>
        </w:r>
      </w:hyperlink>
      <w:r w:rsidR="00BD674B" w:rsidRPr="00BD674B">
        <w:rPr>
          <w:i/>
          <w:color w:val="0000FF"/>
          <w:u w:val="single"/>
        </w:rPr>
        <w:t xml:space="preserve"> </w:t>
      </w:r>
    </w:p>
    <w:p w:rsidR="0070711E" w:rsidRPr="00DC3370" w:rsidRDefault="0070711E" w:rsidP="00717E6B">
      <w:pPr>
        <w:jc w:val="both"/>
        <w:rPr>
          <w:b/>
        </w:rPr>
      </w:pPr>
    </w:p>
    <w:p w:rsidR="00E25B0A" w:rsidRDefault="00E25B0A" w:rsidP="00954DA4">
      <w:pPr>
        <w:spacing w:line="360" w:lineRule="auto"/>
        <w:jc w:val="both"/>
        <w:rPr>
          <w:b/>
        </w:rPr>
      </w:pPr>
    </w:p>
    <w:p w:rsidR="00E25B0A" w:rsidRDefault="00E25B0A" w:rsidP="00954DA4">
      <w:pPr>
        <w:spacing w:line="360" w:lineRule="auto"/>
        <w:jc w:val="both"/>
        <w:rPr>
          <w:b/>
        </w:rPr>
      </w:pPr>
    </w:p>
    <w:p w:rsidR="00294E13" w:rsidRPr="00954DA4" w:rsidRDefault="00294E13" w:rsidP="00954DA4">
      <w:pPr>
        <w:spacing w:line="360" w:lineRule="auto"/>
        <w:jc w:val="both"/>
        <w:rPr>
          <w:b/>
        </w:rPr>
      </w:pPr>
      <w:r w:rsidRPr="00954DA4">
        <w:rPr>
          <w:b/>
        </w:rPr>
        <w:lastRenderedPageBreak/>
        <w:t>Takimi ka filluar në orën:</w:t>
      </w:r>
      <w:r w:rsidR="001B312D" w:rsidRPr="00954DA4">
        <w:rPr>
          <w:b/>
        </w:rPr>
        <w:t>09:</w:t>
      </w:r>
      <w:r w:rsidR="00954DA4" w:rsidRPr="00954DA4">
        <w:rPr>
          <w:b/>
        </w:rPr>
        <w:t>15</w:t>
      </w:r>
    </w:p>
    <w:p w:rsidR="00294E13" w:rsidRPr="00954DA4" w:rsidRDefault="00294E13" w:rsidP="00954DA4">
      <w:pPr>
        <w:spacing w:line="360" w:lineRule="auto"/>
        <w:jc w:val="both"/>
      </w:pPr>
    </w:p>
    <w:p w:rsidR="00954DA4" w:rsidRPr="00954DA4" w:rsidRDefault="00954DA4" w:rsidP="00954DA4">
      <w:pPr>
        <w:spacing w:line="360" w:lineRule="auto"/>
        <w:jc w:val="both"/>
      </w:pPr>
      <w:r w:rsidRPr="00954DA4">
        <w:t>Ymer Berisha, Udhëheqës i Njësisë për Komunikim me Publikun, e ka hapur takimin duke i përshëndetur të pranishmit dhe duke theksuar rëndësinë e këtij organizimi. Ai ka deklaruar se qëllimi i takimit është informimi i qytetarëve përmes dëgjimit të raportit të Kryetarit të Komunës lidhur me punën dhe angazhimet e realizuara gjatë vitit 2025, si dhe krijimi i një hapësire për komunikim të drejtpërdrejtë dhe transparencë ndërmjet institucioneve komunale dhe qytetarëve.</w:t>
      </w:r>
    </w:p>
    <w:p w:rsidR="00954DA4" w:rsidRPr="00954DA4" w:rsidRDefault="00954DA4" w:rsidP="00954DA4">
      <w:pPr>
        <w:spacing w:line="360" w:lineRule="auto"/>
        <w:jc w:val="both"/>
      </w:pPr>
    </w:p>
    <w:p w:rsidR="00954DA4" w:rsidRPr="00954DA4" w:rsidRDefault="00C81852" w:rsidP="00954DA4">
      <w:pPr>
        <w:spacing w:line="360" w:lineRule="auto"/>
        <w:jc w:val="both"/>
      </w:pPr>
      <w:r w:rsidRPr="00954DA4">
        <w:rPr>
          <w:b/>
        </w:rPr>
        <w:t>Shaqir Totaj</w:t>
      </w:r>
      <w:r w:rsidRPr="00954DA4">
        <w:t>, kryetar i Komunës së Prizrenit ka pr</w:t>
      </w:r>
      <w:r w:rsidR="00954DA4" w:rsidRPr="00954DA4">
        <w:t>ezantuar raportin për vitin 2025</w:t>
      </w:r>
      <w:r w:rsidRPr="00954DA4">
        <w:t xml:space="preserve"> duke thënë se </w:t>
      </w:r>
      <w:r w:rsidR="00954DA4" w:rsidRPr="00954DA4">
        <w:t xml:space="preserve"> k</w:t>
      </w:r>
      <w:r w:rsidR="00954DA4" w:rsidRPr="00954DA4">
        <w:rPr>
          <w:rFonts w:eastAsia="Times New Roman"/>
          <w:color w:val="222222"/>
        </w:rPr>
        <w:t>y raport përmbledh punën institucionale të Komunës së Prizrenit gjatë vitit 2025. Ai synon të pasqyrojë jo vetëm aktivitetet dhe statistikat e realizuara, por mbi të gjitha drejtimin, prioritetet dhe ndikimin konkret të punës komunale në jetën e qytetarëve.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Viti 2025 ka qenë vit pune intensive, konsolidimi institucional dhe vazhdimësie të projekteve strategjike. Në një realitet me sfida të vazhdueshme ekonomike, sociale dhe infrastrukturore, Komuna e Prizrenit ka ruajtur funksionalitetin, stabilitetin financiar dhe orientimin drejt zhvillimit të qëndrueshëm.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Ky raport i shkurtuar është ndërtuar për t’u lexuar publikisht dhe për të reflektuar thelbin e punës institucionale, duke ruajtur besnikërinë e plotë ndaj raportit të detajuar vjetor.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Qeverisja dhe drejtimi institucional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Gjatë vitit 2025, Komuna e Prizrenit ka funksionuar mbi parimin e koordinimit të brendshëm institucional dhe përgjegjësisë kolektive. Drejtoritë komunale dhe njësitë vartëse kanë vepruar si një trup i vetëm administrativ, duke zbatuar politikat komunale dhe vendimet e organeve përkatëse.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Një vëmendje e veçantë i është kushtuar: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koordinimit ndërmjet drejtorive,</w:t>
      </w:r>
    </w:p>
    <w:p w:rsidR="00954DA4" w:rsidRPr="00954DA4" w:rsidRDefault="00954DA4" w:rsidP="00954DA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respektimit të procedurave ligjore,</w:t>
      </w:r>
    </w:p>
    <w:p w:rsidR="00954DA4" w:rsidRPr="00954DA4" w:rsidRDefault="00954DA4" w:rsidP="00954DA4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transparencës në vendimmarrje,</w:t>
      </w:r>
    </w:p>
    <w:p w:rsidR="00954DA4" w:rsidRPr="00E25B0A" w:rsidRDefault="00954DA4" w:rsidP="00E25B0A">
      <w:pPr>
        <w:pStyle w:val="ListParagraph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komunikimit me qytetarët dhe institucionet partnere.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lastRenderedPageBreak/>
        <w:t>Gjatë vitit janë forcuar partneritetet me institucionet qendrore, organizatat ndërkombëtare dhe donatorët, duke krijuar hapësirë për mbështetje financiare dhe teknike në projekte zhvillimore.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Mesazhi kryesor i vitit 2025 ka qenë i qartë: Komuna duhet të funksionojë si institucion i besueshëm, i qëndrueshëm dhe i përgjegjshëm ndaj qytetarëve.</w:t>
      </w:r>
    </w:p>
    <w:p w:rsidR="00E25B0A" w:rsidRDefault="00E25B0A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Financat dhe stabiliteti buxhetor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 xml:space="preserve">Menaxhimi financiar gjatë vitit 2025 është karakterizuar nga disiplinë buxhetore dhe transparencë. Të hyrat </w:t>
      </w:r>
      <w:proofErr w:type="spellStart"/>
      <w:r w:rsidRPr="00954DA4">
        <w:rPr>
          <w:rFonts w:eastAsia="Times New Roman"/>
          <w:color w:val="222222"/>
        </w:rPr>
        <w:t>vetanake</w:t>
      </w:r>
      <w:proofErr w:type="spellEnd"/>
      <w:r w:rsidRPr="00954DA4">
        <w:rPr>
          <w:rFonts w:eastAsia="Times New Roman"/>
          <w:color w:val="222222"/>
        </w:rPr>
        <w:t xml:space="preserve"> komunale janë realizuar në nivel mbi planifikimin, duke tejkaluar 10.7 milionë euro, ndërsa shpenzimet janë menaxhuar në mënyrë të kontrolluar.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Shpenzimet buxhetore për periudhën janar–nëntor 2025 kanë arritur mbi 65.5 milionë euro, me fokus në:</w:t>
      </w:r>
    </w:p>
    <w:p w:rsidR="00954DA4" w:rsidRPr="00954DA4" w:rsidRDefault="00954DA4" w:rsidP="00954DA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paga dhe shërbime bazë,</w:t>
      </w:r>
    </w:p>
    <w:p w:rsidR="00954DA4" w:rsidRPr="00954DA4" w:rsidRDefault="00954DA4" w:rsidP="00954DA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investime kapitale,</w:t>
      </w:r>
    </w:p>
    <w:p w:rsidR="00954DA4" w:rsidRPr="00954DA4" w:rsidRDefault="00954DA4" w:rsidP="00954DA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subvencione dhe mbështetje sociale.</w:t>
      </w:r>
    </w:p>
    <w:p w:rsidR="00954DA4" w:rsidRPr="00954DA4" w:rsidRDefault="00954DA4" w:rsidP="00954DA4">
      <w:pPr>
        <w:pStyle w:val="ListParagraph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Ky menaxhim ka mundësuar vazhdimin e projekteve kapitale dhe garantimin e stabilitetit financiar të Komunës. Qasja e ndjekur ka qenë e qartë: paratë publike duhet të shërbejnë për interesin publik dhe të menaxhohen me përgjegjësi.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Investimet publike dhe infrastruktura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Gjatë vitit 2025 janë realizuar investime të rëndësishme në infrastrukturë dhe objekte publike. Fokus i veçantë i është dhënë: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shëndetësisë,</w:t>
      </w:r>
    </w:p>
    <w:p w:rsidR="00954DA4" w:rsidRPr="00954DA4" w:rsidRDefault="00954DA4" w:rsidP="00954DA4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objekteve arsimore,</w:t>
      </w:r>
    </w:p>
    <w:p w:rsidR="00954DA4" w:rsidRPr="00954DA4" w:rsidRDefault="00954DA4" w:rsidP="00954DA4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objekteve kulturore dhe sportive,</w:t>
      </w:r>
    </w:p>
    <w:p w:rsidR="00954DA4" w:rsidRPr="00954DA4" w:rsidRDefault="00954DA4" w:rsidP="00954DA4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rrjetit të shërbimeve publike.</w:t>
      </w:r>
    </w:p>
    <w:p w:rsidR="00954DA4" w:rsidRPr="00954DA4" w:rsidRDefault="00954DA4" w:rsidP="00954DA4">
      <w:pPr>
        <w:pStyle w:val="ListParagraph"/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lastRenderedPageBreak/>
        <w:t>Janë avancuar projekte kapitale në ndërtimin dhe renovimin e qendrave shëndetësore, objekteve kulturore, infrastrukturës sportive dhe hapësirave publike. Këto investime kanë pasur ndikim të drejtpërdrejtë në përmirësimin e kushteve të jetesës dhe funksionimit urban.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Qasja e ndjekur ka qenë: më pak projekte në letër dhe më shumë projekte që qytetarët i shohin dhe i përdorin.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Administrata dhe shërbimet për qytetarë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Administrata komunale gjatë vitit 2025 ka përballuar një volum shumë të madh kërkesash administrative. Vetëm në sektorë kyç janë ofruar: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mbi 80 mijë certifikata të gjendjes civile,</w:t>
      </w:r>
    </w:p>
    <w:p w:rsidR="00954DA4" w:rsidRPr="00954DA4" w:rsidRDefault="00954DA4" w:rsidP="00954DA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mijëra shërbime administrative dhe teknike,</w:t>
      </w:r>
    </w:p>
    <w:p w:rsidR="00954DA4" w:rsidRPr="00954DA4" w:rsidRDefault="00954DA4" w:rsidP="00954DA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përmirësim gradual i proceseve përmes digjitalizimit.</w:t>
      </w:r>
    </w:p>
    <w:p w:rsidR="00954DA4" w:rsidRPr="00954DA4" w:rsidRDefault="00954DA4" w:rsidP="00954DA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Njësia për Burime Njerëzore ka trajtuar mbi 2,700 kërkesa dhe ka zhvilluar dhjetëra procedura rekrutimi në sektorë jetikë si shëndetësia dhe arsimi.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Administrata ka qenë dhe mbetet mjeti kryesor për realizimin e politikave komunale, me synim që qytetari të marrë shërbim korrekt, në kohë dhe me respekt.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Siguria, emergjencat dhe inspektimet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Siguria publike ka qenë prioritet i vazhdueshëm. Gjatë vitit 2025: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Brigada e Zjarrfikësve ka realizuar mbi 740 intervenime,</w:t>
      </w:r>
    </w:p>
    <w:p w:rsidR="00954DA4" w:rsidRPr="00954DA4" w:rsidRDefault="00954DA4" w:rsidP="00954DA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janë zgjeruar dhe mirëmbajtur kamerat e sigurisë,</w:t>
      </w:r>
    </w:p>
    <w:p w:rsidR="00954DA4" w:rsidRPr="00954DA4" w:rsidRDefault="00954DA4" w:rsidP="00954DA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është forcuar reagimi institucional në raste emergjente.</w:t>
      </w:r>
    </w:p>
    <w:p w:rsidR="00954DA4" w:rsidRPr="00954DA4" w:rsidRDefault="00954DA4" w:rsidP="00954DA4">
      <w:pPr>
        <w:pStyle w:val="ListParagraph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Drejtoria e Inspektorateve ka realizuar qindra inspektime në treg, ndërtim, mjedis dhe rend urban, duke kontribuar në mbrojtjen e interesit publik dhe zbatimin e ligjit.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lastRenderedPageBreak/>
        <w:t>Mesazhi institucional ka qenë i qartë: siguria nuk negociohet dhe ligji zbatohet për të gjithë.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Shëndetësia dhe mirëqenia sociale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Shëndetësia komunale gjatë vitit 2025 ka ofruar mbi 840 mijë shërbime shëndetësore për qytetarët. Janë realizuar investime në:</w:t>
      </w:r>
    </w:p>
    <w:p w:rsidR="00954DA4" w:rsidRPr="00954DA4" w:rsidRDefault="00954DA4" w:rsidP="00954DA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ndërtimin dhe renovimin e objekteve shëndetësore,</w:t>
      </w:r>
    </w:p>
    <w:p w:rsidR="00954DA4" w:rsidRPr="00954DA4" w:rsidRDefault="00954DA4" w:rsidP="00954DA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furnizimin me pajisje mjekësore,</w:t>
      </w:r>
    </w:p>
    <w:p w:rsidR="00954DA4" w:rsidRPr="00954DA4" w:rsidRDefault="00954DA4" w:rsidP="00954DA4">
      <w:pPr>
        <w:pStyle w:val="ListParagraph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përmirësimin e kushteve të punës për stafin shëndetësor.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Njëkohësisht, Komuna ka ofruar mbështetje financiare për qytetarët në nevojë, përmes subvencioneve dhe ndihmave sociale.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Qasja ka qenë e qartë: shëndetësia dhe mirëqenia nuk janë shpenzim, por inves</w:t>
      </w:r>
      <w:r w:rsidR="00E25B0A">
        <w:rPr>
          <w:rFonts w:eastAsia="Times New Roman"/>
          <w:color w:val="222222"/>
        </w:rPr>
        <w:t>tim në dinjitetin e qytetarëve.</w:t>
      </w:r>
    </w:p>
    <w:p w:rsidR="00954DA4" w:rsidRPr="00E25B0A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t>Kultura, rinia dhe sporti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Prizreni gjatë vitit 2025 ka ruajtur identitetin e tij si qendër kulturore. Janë realizuar: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</w:p>
    <w:p w:rsidR="00954DA4" w:rsidRPr="00954DA4" w:rsidRDefault="00954DA4" w:rsidP="00954DA4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investime në objekte kulturore dhe sportive,</w:t>
      </w:r>
    </w:p>
    <w:p w:rsidR="00954DA4" w:rsidRPr="00954DA4" w:rsidRDefault="00954DA4" w:rsidP="00954DA4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mbështetje financiare për OJQ dhe individë,</w:t>
      </w:r>
    </w:p>
    <w:p w:rsidR="00954DA4" w:rsidRPr="00E25B0A" w:rsidRDefault="00954DA4" w:rsidP="00E25B0A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organizim i festivaleve dhe ngjarjeve kulturore e sportive.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Këto aktivitete kanë kontribuar në gjallërinë e qytetit, përfshirjen e rinisë dhe promovimin e vlerave kulturore dhe sportive.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Kultura dhe sporti janë trajtuar si shtylla të ident</w:t>
      </w:r>
      <w:r w:rsidR="00E25B0A">
        <w:rPr>
          <w:rFonts w:eastAsia="Times New Roman"/>
          <w:color w:val="222222"/>
        </w:rPr>
        <w:t>itetit dhe kohezionit shoqëror.</w:t>
      </w:r>
    </w:p>
    <w:p w:rsidR="00E25B0A" w:rsidRDefault="00E25B0A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proofErr w:type="spellStart"/>
      <w:r w:rsidRPr="00954DA4">
        <w:rPr>
          <w:rFonts w:eastAsia="Times New Roman"/>
          <w:b/>
          <w:color w:val="222222"/>
        </w:rPr>
        <w:t>Gjithëpërfshirja</w:t>
      </w:r>
      <w:proofErr w:type="spellEnd"/>
      <w:r w:rsidRPr="00954DA4">
        <w:rPr>
          <w:rFonts w:eastAsia="Times New Roman"/>
          <w:b/>
          <w:color w:val="222222"/>
        </w:rPr>
        <w:t xml:space="preserve"> dhe komunitetet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 xml:space="preserve">Komuna e Prizrenit ka vazhduar angazhimin për </w:t>
      </w:r>
      <w:proofErr w:type="spellStart"/>
      <w:r w:rsidRPr="00954DA4">
        <w:rPr>
          <w:rFonts w:eastAsia="Times New Roman"/>
          <w:color w:val="222222"/>
        </w:rPr>
        <w:t>gjithëpërfshirje</w:t>
      </w:r>
      <w:proofErr w:type="spellEnd"/>
      <w:r w:rsidRPr="00954DA4">
        <w:rPr>
          <w:rFonts w:eastAsia="Times New Roman"/>
          <w:color w:val="222222"/>
        </w:rPr>
        <w:t xml:space="preserve">, barazi dhe respekt për </w:t>
      </w:r>
      <w:proofErr w:type="spellStart"/>
      <w:r w:rsidRPr="00954DA4">
        <w:rPr>
          <w:rFonts w:eastAsia="Times New Roman"/>
          <w:color w:val="222222"/>
        </w:rPr>
        <w:t>diversitetin</w:t>
      </w:r>
      <w:proofErr w:type="spellEnd"/>
      <w:r w:rsidRPr="00954DA4">
        <w:rPr>
          <w:rFonts w:eastAsia="Times New Roman"/>
          <w:color w:val="222222"/>
        </w:rPr>
        <w:t>. Janë mbështetur komunitetet jo-shumicë, është forcuar roli i Zyrës për Komunitete dhe është avancuar bashkëpunimi ndërkulturor.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Integrimet evropiane dhe bashkëpunimi ndërkombëtar kanë qenë pjesë e vazhdueshme e agjendës komunale, me fokus në rritjen e kapaciteteve institucionale dhe harmonizimin me standardet evropiane.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Mesazhi ka qenë i qartë: Prizreni është qytet për të gjithë qytetarët e tij.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b/>
          <w:color w:val="222222"/>
        </w:rPr>
      </w:pPr>
      <w:r w:rsidRPr="00954DA4">
        <w:rPr>
          <w:rFonts w:eastAsia="Times New Roman"/>
          <w:b/>
          <w:color w:val="222222"/>
        </w:rPr>
        <w:lastRenderedPageBreak/>
        <w:t>Përfundim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Viti 2025 për Komunën e Prizrenit ka qenë vit pune serioze, përgjegjësie institucionale dhe rezultateve konkrete. Ky raport i shkurtuar pasqyron një pjesë të rëndësishme të kësaj pune, ndërsa raporti i detajuar mbetet dokumenti zyrtar i plotë.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Komuna e Prizrenit do të vazhdojë të punojë me përkushtim për zhvillim të qëndrueshëm, shërbime cilësore dhe mirëqenie për qytetarët.</w:t>
      </w:r>
    </w:p>
    <w:p w:rsidR="00954DA4" w:rsidRPr="00954DA4" w:rsidRDefault="00954DA4" w:rsidP="00954DA4">
      <w:pPr>
        <w:shd w:val="clear" w:color="auto" w:fill="FFFFFF"/>
        <w:spacing w:line="360" w:lineRule="auto"/>
        <w:jc w:val="both"/>
        <w:rPr>
          <w:rFonts w:eastAsia="Times New Roman"/>
          <w:color w:val="222222"/>
        </w:rPr>
      </w:pPr>
      <w:r w:rsidRPr="00954DA4">
        <w:rPr>
          <w:rFonts w:eastAsia="Times New Roman"/>
          <w:color w:val="222222"/>
        </w:rPr>
        <w:t>Falënderim i veçantë u drejtohet stafit komunal dhe qytetarëve për bashkëpunimin dhe besimin.</w:t>
      </w:r>
    </w:p>
    <w:p w:rsidR="00954DA4" w:rsidRPr="00954DA4" w:rsidRDefault="00954DA4" w:rsidP="00954DA4">
      <w:pPr>
        <w:spacing w:line="360" w:lineRule="auto"/>
        <w:jc w:val="both"/>
        <w:rPr>
          <w:b/>
        </w:rPr>
      </w:pPr>
    </w:p>
    <w:p w:rsidR="00BD674B" w:rsidRPr="00954DA4" w:rsidRDefault="00BD674B" w:rsidP="00954DA4">
      <w:pPr>
        <w:spacing w:line="360" w:lineRule="auto"/>
        <w:jc w:val="both"/>
        <w:rPr>
          <w:b/>
        </w:rPr>
      </w:pPr>
      <w:r w:rsidRPr="00954DA4">
        <w:rPr>
          <w:b/>
        </w:rPr>
        <w:t xml:space="preserve">Fidan </w:t>
      </w:r>
      <w:proofErr w:type="spellStart"/>
      <w:r w:rsidRPr="00954DA4">
        <w:rPr>
          <w:b/>
        </w:rPr>
        <w:t>Syla</w:t>
      </w:r>
      <w:proofErr w:type="spellEnd"/>
      <w:r w:rsidRPr="00954DA4">
        <w:rPr>
          <w:b/>
        </w:rPr>
        <w:t>:</w:t>
      </w:r>
    </w:p>
    <w:p w:rsidR="00294E13" w:rsidRPr="00954DA4" w:rsidRDefault="00BD674B" w:rsidP="00954DA4">
      <w:pPr>
        <w:spacing w:line="360" w:lineRule="auto"/>
        <w:jc w:val="both"/>
      </w:pPr>
      <w:r w:rsidRPr="00954DA4">
        <w:t>Kur pritet të fillojnë punimet për hapjen e rrugëve në lagjen Dardania 2 dhe cili është shkaku i vonesës së deritanishme?</w:t>
      </w:r>
    </w:p>
    <w:p w:rsidR="00E274D7" w:rsidRPr="00E25B0A" w:rsidRDefault="00294E13" w:rsidP="00954DA4">
      <w:pPr>
        <w:spacing w:line="360" w:lineRule="auto"/>
        <w:jc w:val="both"/>
        <w:rPr>
          <w:b/>
        </w:rPr>
      </w:pPr>
      <w:r w:rsidRPr="00954DA4">
        <w:rPr>
          <w:b/>
        </w:rPr>
        <w:t>Takimi ka përfunduar në orën:</w:t>
      </w:r>
      <w:r w:rsidR="00BD674B" w:rsidRPr="00954DA4">
        <w:rPr>
          <w:b/>
        </w:rPr>
        <w:t>09</w:t>
      </w:r>
      <w:r w:rsidR="0036365B" w:rsidRPr="00954DA4">
        <w:rPr>
          <w:b/>
        </w:rPr>
        <w:t>:</w:t>
      </w:r>
      <w:r w:rsidR="00BD674B" w:rsidRPr="00954DA4">
        <w:rPr>
          <w:b/>
        </w:rPr>
        <w:t>40</w:t>
      </w:r>
    </w:p>
    <w:p w:rsidR="00AA4396" w:rsidRPr="00954DA4" w:rsidRDefault="00FB6D4B" w:rsidP="00954DA4">
      <w:pPr>
        <w:spacing w:line="360" w:lineRule="auto"/>
        <w:jc w:val="both"/>
      </w:pPr>
      <w:r w:rsidRPr="00954DA4">
        <w:t xml:space="preserve">Në këtë </w:t>
      </w:r>
      <w:proofErr w:type="spellStart"/>
      <w:r w:rsidRPr="00954DA4">
        <w:t>vegëz</w:t>
      </w:r>
      <w:proofErr w:type="spellEnd"/>
      <w:r w:rsidRPr="00954DA4">
        <w:t xml:space="preserve">:  </w:t>
      </w:r>
      <w:hyperlink r:id="rId15" w:history="1">
        <w:r w:rsidR="004D43C4" w:rsidRPr="00954DA4">
          <w:rPr>
            <w:rStyle w:val="Hyperlink"/>
            <w:i w:val="0"/>
            <w:color w:val="0000FF"/>
            <w:u w:val="single"/>
          </w:rPr>
          <w:t>https://www.facebook.com/TVBESA/videos/888040613687092</w:t>
        </w:r>
      </w:hyperlink>
      <w:r w:rsidR="004D43C4" w:rsidRPr="00954DA4">
        <w:t xml:space="preserve"> </w:t>
      </w:r>
      <w:r w:rsidR="00E579B8" w:rsidRPr="00954DA4">
        <w:rPr>
          <w:color w:val="0000FF"/>
        </w:rPr>
        <w:t xml:space="preserve"> </w:t>
      </w:r>
      <w:r w:rsidR="002608B4" w:rsidRPr="00954DA4">
        <w:t xml:space="preserve">, </w:t>
      </w:r>
      <w:r w:rsidR="0078557B" w:rsidRPr="00954DA4">
        <w:t>mund ta</w:t>
      </w:r>
      <w:r w:rsidRPr="00954DA4">
        <w:t xml:space="preserve"> </w:t>
      </w:r>
      <w:r w:rsidR="00F12F5F" w:rsidRPr="00954DA4">
        <w:t>gjeni  video in</w:t>
      </w:r>
      <w:r w:rsidR="002608B4" w:rsidRPr="00954DA4">
        <w:t>ci</w:t>
      </w:r>
      <w:r w:rsidR="00F12F5F" w:rsidRPr="00954DA4">
        <w:t>zi</w:t>
      </w:r>
      <w:r w:rsidR="002608B4" w:rsidRPr="00954DA4">
        <w:t>min e takimit.</w:t>
      </w:r>
      <w:r w:rsidRPr="00954DA4">
        <w:t xml:space="preserve">  </w:t>
      </w:r>
    </w:p>
    <w:p w:rsidR="00FD5B5F" w:rsidRPr="00954DA4" w:rsidRDefault="00FD5B5F" w:rsidP="00954DA4">
      <w:pPr>
        <w:spacing w:line="360" w:lineRule="auto"/>
        <w:jc w:val="both"/>
      </w:pPr>
    </w:p>
    <w:p w:rsidR="0047799D" w:rsidRDefault="0047799D" w:rsidP="00954DA4">
      <w:pPr>
        <w:spacing w:line="360" w:lineRule="auto"/>
        <w:jc w:val="right"/>
      </w:pPr>
    </w:p>
    <w:p w:rsidR="0047799D" w:rsidRDefault="0047799D" w:rsidP="00954DA4">
      <w:pPr>
        <w:spacing w:line="360" w:lineRule="auto"/>
        <w:jc w:val="right"/>
      </w:pPr>
    </w:p>
    <w:p w:rsidR="00FD5B5F" w:rsidRPr="00954DA4" w:rsidRDefault="00D12C27" w:rsidP="00954DA4">
      <w:pPr>
        <w:spacing w:line="360" w:lineRule="auto"/>
        <w:jc w:val="right"/>
      </w:pPr>
      <w:bookmarkStart w:id="0" w:name="_GoBack"/>
      <w:bookmarkEnd w:id="0"/>
      <w:r w:rsidRPr="00954DA4">
        <w:t>Procesmbajtës</w:t>
      </w:r>
      <w:r w:rsidR="00FD5B5F" w:rsidRPr="00954DA4">
        <w:t>:</w:t>
      </w:r>
      <w:r w:rsidRPr="00954DA4">
        <w:t xml:space="preserve"> </w:t>
      </w:r>
    </w:p>
    <w:p w:rsidR="00D12C27" w:rsidRPr="00954DA4" w:rsidRDefault="00D12C27" w:rsidP="00954DA4">
      <w:pPr>
        <w:spacing w:line="360" w:lineRule="auto"/>
        <w:jc w:val="right"/>
      </w:pPr>
    </w:p>
    <w:p w:rsidR="008A46EC" w:rsidRPr="00954DA4" w:rsidRDefault="00DE677B" w:rsidP="00954DA4">
      <w:pPr>
        <w:spacing w:line="360" w:lineRule="auto"/>
        <w:jc w:val="right"/>
      </w:pPr>
      <w:r w:rsidRPr="00954DA4">
        <w:t>Haziz Krasniqi</w:t>
      </w:r>
    </w:p>
    <w:sectPr w:rsidR="008A46EC" w:rsidRPr="00954DA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6DA" w:rsidRDefault="004316DA" w:rsidP="00FD5B5F">
      <w:r>
        <w:separator/>
      </w:r>
    </w:p>
  </w:endnote>
  <w:endnote w:type="continuationSeparator" w:id="0">
    <w:p w:rsidR="004316DA" w:rsidRDefault="004316DA" w:rsidP="00FD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E6B" w:rsidRDefault="00717E6B">
    <w:pPr>
      <w:pStyle w:val="Footer"/>
      <w:pBdr>
        <w:top w:val="single" w:sz="4" w:space="1" w:color="D9D9D9" w:themeColor="background1" w:themeShade="D9"/>
      </w:pBdr>
      <w:jc w:val="right"/>
    </w:pPr>
  </w:p>
  <w:p w:rsidR="00717E6B" w:rsidRDefault="00717E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6DA" w:rsidRDefault="004316DA" w:rsidP="00FD5B5F">
      <w:r>
        <w:separator/>
      </w:r>
    </w:p>
  </w:footnote>
  <w:footnote w:type="continuationSeparator" w:id="0">
    <w:p w:rsidR="004316DA" w:rsidRDefault="004316DA" w:rsidP="00FD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B3830"/>
    <w:multiLevelType w:val="hybridMultilevel"/>
    <w:tmpl w:val="A03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41BAC"/>
    <w:multiLevelType w:val="hybridMultilevel"/>
    <w:tmpl w:val="828C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F04F0"/>
    <w:multiLevelType w:val="hybridMultilevel"/>
    <w:tmpl w:val="C91E3158"/>
    <w:lvl w:ilvl="0" w:tplc="0409000F">
      <w:start w:val="1"/>
      <w:numFmt w:val="decimal"/>
      <w:pStyle w:val="Bullet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62098"/>
    <w:multiLevelType w:val="hybridMultilevel"/>
    <w:tmpl w:val="371C7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58C9"/>
    <w:multiLevelType w:val="hybridMultilevel"/>
    <w:tmpl w:val="D9FE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41604"/>
    <w:multiLevelType w:val="hybridMultilevel"/>
    <w:tmpl w:val="8D5A2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06306"/>
    <w:multiLevelType w:val="hybridMultilevel"/>
    <w:tmpl w:val="63C0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103D"/>
    <w:multiLevelType w:val="hybridMultilevel"/>
    <w:tmpl w:val="6ECAB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914"/>
    <w:rsid w:val="00015B85"/>
    <w:rsid w:val="00045D94"/>
    <w:rsid w:val="00093014"/>
    <w:rsid w:val="000A2090"/>
    <w:rsid w:val="000B1334"/>
    <w:rsid w:val="000E03AE"/>
    <w:rsid w:val="0014474B"/>
    <w:rsid w:val="001809D8"/>
    <w:rsid w:val="00197291"/>
    <w:rsid w:val="001B312D"/>
    <w:rsid w:val="001E0536"/>
    <w:rsid w:val="001F5D81"/>
    <w:rsid w:val="00206817"/>
    <w:rsid w:val="002126CD"/>
    <w:rsid w:val="002608B4"/>
    <w:rsid w:val="00271871"/>
    <w:rsid w:val="00294E13"/>
    <w:rsid w:val="002A29A8"/>
    <w:rsid w:val="002B0DFE"/>
    <w:rsid w:val="002C34CC"/>
    <w:rsid w:val="002D1B75"/>
    <w:rsid w:val="002D7836"/>
    <w:rsid w:val="002E13E7"/>
    <w:rsid w:val="002E5657"/>
    <w:rsid w:val="002F3343"/>
    <w:rsid w:val="00313315"/>
    <w:rsid w:val="00337D45"/>
    <w:rsid w:val="0036365B"/>
    <w:rsid w:val="003A4BD5"/>
    <w:rsid w:val="003D771F"/>
    <w:rsid w:val="003E528B"/>
    <w:rsid w:val="004316DA"/>
    <w:rsid w:val="0047799D"/>
    <w:rsid w:val="00496A80"/>
    <w:rsid w:val="004D43C4"/>
    <w:rsid w:val="00504EBB"/>
    <w:rsid w:val="00512E79"/>
    <w:rsid w:val="005155A8"/>
    <w:rsid w:val="00540199"/>
    <w:rsid w:val="0054314E"/>
    <w:rsid w:val="00581922"/>
    <w:rsid w:val="0058669A"/>
    <w:rsid w:val="005943C8"/>
    <w:rsid w:val="005F75D3"/>
    <w:rsid w:val="00612EDA"/>
    <w:rsid w:val="00622B39"/>
    <w:rsid w:val="00627434"/>
    <w:rsid w:val="0067266C"/>
    <w:rsid w:val="00682EF4"/>
    <w:rsid w:val="006B4AEA"/>
    <w:rsid w:val="006E17DD"/>
    <w:rsid w:val="006F748D"/>
    <w:rsid w:val="0070711E"/>
    <w:rsid w:val="00717E6B"/>
    <w:rsid w:val="007501C9"/>
    <w:rsid w:val="0076722A"/>
    <w:rsid w:val="0078557B"/>
    <w:rsid w:val="007B6B59"/>
    <w:rsid w:val="007E0BCC"/>
    <w:rsid w:val="007F5D4B"/>
    <w:rsid w:val="00820413"/>
    <w:rsid w:val="008212DF"/>
    <w:rsid w:val="00826868"/>
    <w:rsid w:val="00831B91"/>
    <w:rsid w:val="00831D8A"/>
    <w:rsid w:val="0083419E"/>
    <w:rsid w:val="008450FC"/>
    <w:rsid w:val="008617B1"/>
    <w:rsid w:val="00870096"/>
    <w:rsid w:val="00882699"/>
    <w:rsid w:val="00890D84"/>
    <w:rsid w:val="008A46EC"/>
    <w:rsid w:val="008B7162"/>
    <w:rsid w:val="008F403C"/>
    <w:rsid w:val="00901F2B"/>
    <w:rsid w:val="00904C50"/>
    <w:rsid w:val="00917FA9"/>
    <w:rsid w:val="009503F4"/>
    <w:rsid w:val="00953613"/>
    <w:rsid w:val="00954DA4"/>
    <w:rsid w:val="00982E71"/>
    <w:rsid w:val="00983793"/>
    <w:rsid w:val="009B2E1B"/>
    <w:rsid w:val="009C1914"/>
    <w:rsid w:val="009F1510"/>
    <w:rsid w:val="00A6167B"/>
    <w:rsid w:val="00AA4396"/>
    <w:rsid w:val="00AE1C32"/>
    <w:rsid w:val="00AE604A"/>
    <w:rsid w:val="00B02D7E"/>
    <w:rsid w:val="00B21768"/>
    <w:rsid w:val="00B21BB3"/>
    <w:rsid w:val="00B23F13"/>
    <w:rsid w:val="00B42BC5"/>
    <w:rsid w:val="00B57042"/>
    <w:rsid w:val="00B850F9"/>
    <w:rsid w:val="00B9238E"/>
    <w:rsid w:val="00BB5254"/>
    <w:rsid w:val="00BD0F3B"/>
    <w:rsid w:val="00BD4554"/>
    <w:rsid w:val="00BD674B"/>
    <w:rsid w:val="00BE46E5"/>
    <w:rsid w:val="00BF17A7"/>
    <w:rsid w:val="00C21E37"/>
    <w:rsid w:val="00C35B0F"/>
    <w:rsid w:val="00C44767"/>
    <w:rsid w:val="00C72733"/>
    <w:rsid w:val="00C81852"/>
    <w:rsid w:val="00C82CA4"/>
    <w:rsid w:val="00C842DC"/>
    <w:rsid w:val="00CF194A"/>
    <w:rsid w:val="00CF5677"/>
    <w:rsid w:val="00D12C27"/>
    <w:rsid w:val="00D14844"/>
    <w:rsid w:val="00D15195"/>
    <w:rsid w:val="00D20422"/>
    <w:rsid w:val="00D310FF"/>
    <w:rsid w:val="00D631B8"/>
    <w:rsid w:val="00D9764A"/>
    <w:rsid w:val="00DC02C4"/>
    <w:rsid w:val="00DC0386"/>
    <w:rsid w:val="00DC3357"/>
    <w:rsid w:val="00DC3370"/>
    <w:rsid w:val="00DE3769"/>
    <w:rsid w:val="00DE677B"/>
    <w:rsid w:val="00DF1B26"/>
    <w:rsid w:val="00E2406E"/>
    <w:rsid w:val="00E25B0A"/>
    <w:rsid w:val="00E274D7"/>
    <w:rsid w:val="00E4243F"/>
    <w:rsid w:val="00E579B8"/>
    <w:rsid w:val="00E73DFD"/>
    <w:rsid w:val="00F03958"/>
    <w:rsid w:val="00F12F5F"/>
    <w:rsid w:val="00F134AB"/>
    <w:rsid w:val="00F14121"/>
    <w:rsid w:val="00F14983"/>
    <w:rsid w:val="00F253DE"/>
    <w:rsid w:val="00F414E9"/>
    <w:rsid w:val="00F512FA"/>
    <w:rsid w:val="00F61F37"/>
    <w:rsid w:val="00F77AEE"/>
    <w:rsid w:val="00F8144B"/>
    <w:rsid w:val="00FA7382"/>
    <w:rsid w:val="00FB5610"/>
    <w:rsid w:val="00FB6D4B"/>
    <w:rsid w:val="00FD2341"/>
    <w:rsid w:val="00FD5B5F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12DA"/>
  <w15:chartTrackingRefBased/>
  <w15:docId w15:val="{77531594-8A9E-424C-A31E-9638A4FD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7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2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85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7"/>
    <w:unhideWhenUsed/>
    <w:qFormat/>
    <w:rsid w:val="00C81852"/>
    <w:pPr>
      <w:keepNext/>
      <w:keepLines/>
      <w:spacing w:before="240" w:line="36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7"/>
    <w:rsid w:val="00C81852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eastAsia="ja-JP"/>
    </w:rPr>
  </w:style>
  <w:style w:type="table" w:styleId="TableGrid">
    <w:name w:val="Table Grid"/>
    <w:basedOn w:val="TableNormal"/>
    <w:uiPriority w:val="39"/>
    <w:rsid w:val="00901F2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7E0BCC"/>
    <w:rPr>
      <w:i/>
      <w:color w:val="5B9BD5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D12C27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D5B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5F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FD5B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5F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94A"/>
    <w:rPr>
      <w:rFonts w:ascii="Segoe UI" w:eastAsia="MS Mincho" w:hAnsi="Segoe UI" w:cs="Segoe UI"/>
      <w:sz w:val="18"/>
      <w:szCs w:val="18"/>
      <w:lang w:val="sq-AL"/>
    </w:rPr>
  </w:style>
  <w:style w:type="paragraph" w:styleId="NoSpacing">
    <w:name w:val="No Spacing"/>
    <w:link w:val="NoSpacingChar"/>
    <w:uiPriority w:val="1"/>
    <w:qFormat/>
    <w:rsid w:val="001972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C81852"/>
    <w:rPr>
      <w:rFonts w:ascii="Times New Roman" w:eastAsia="MS Mincho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197291"/>
    <w:pPr>
      <w:ind w:left="720"/>
      <w:contextualSpacing/>
    </w:pPr>
  </w:style>
  <w:style w:type="paragraph" w:styleId="BodyText">
    <w:name w:val="Body Text"/>
    <w:basedOn w:val="Normal"/>
    <w:link w:val="BodyTextChar"/>
    <w:rsid w:val="00C81852"/>
    <w:pPr>
      <w:jc w:val="both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C81852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Title">
    <w:name w:val="Title"/>
    <w:basedOn w:val="Normal"/>
    <w:link w:val="TitleChar"/>
    <w:qFormat/>
    <w:rsid w:val="00C8185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C81852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unhideWhenUsed/>
    <w:rsid w:val="00C81852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C81852"/>
    <w:rPr>
      <w:lang w:val="sq-AL"/>
    </w:rPr>
  </w:style>
  <w:style w:type="table" w:styleId="GridTable1Light">
    <w:name w:val="Grid Table 1 Light"/>
    <w:basedOn w:val="TableNormal"/>
    <w:uiPriority w:val="46"/>
    <w:rsid w:val="00C8185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Indent3">
    <w:name w:val="Body Text Indent 3"/>
    <w:basedOn w:val="Normal"/>
    <w:link w:val="BodyTextIndent3Char"/>
    <w:uiPriority w:val="99"/>
    <w:unhideWhenUsed/>
    <w:rsid w:val="00C81852"/>
    <w:pPr>
      <w:spacing w:after="120" w:line="259" w:lineRule="auto"/>
      <w:ind w:left="36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81852"/>
    <w:rPr>
      <w:sz w:val="16"/>
      <w:szCs w:val="16"/>
      <w:lang w:val="sq-AL"/>
    </w:rPr>
  </w:style>
  <w:style w:type="paragraph" w:styleId="BodyText3">
    <w:name w:val="Body Text 3"/>
    <w:basedOn w:val="Normal"/>
    <w:link w:val="BodyText3Char"/>
    <w:rsid w:val="00C81852"/>
    <w:pPr>
      <w:spacing w:after="120"/>
    </w:pPr>
    <w:rPr>
      <w:rFonts w:eastAsia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C81852"/>
    <w:rPr>
      <w:rFonts w:ascii="Times New Roman" w:eastAsia="Times New Roman" w:hAnsi="Times New Roman" w:cs="Times New Roman"/>
      <w:sz w:val="16"/>
      <w:szCs w:val="16"/>
    </w:rPr>
  </w:style>
  <w:style w:type="paragraph" w:customStyle="1" w:styleId="Bullet">
    <w:name w:val="Bullet"/>
    <w:basedOn w:val="Normal"/>
    <w:rsid w:val="00C81852"/>
    <w:pPr>
      <w:numPr>
        <w:numId w:val="1"/>
      </w:numPr>
      <w:spacing w:after="120"/>
      <w:ind w:left="720"/>
      <w:jc w:val="both"/>
    </w:pPr>
    <w:rPr>
      <w:rFonts w:ascii="Tahoma" w:eastAsia="Times New Roman" w:hAnsi="Tahoma"/>
      <w:sz w:val="20"/>
      <w:szCs w:val="22"/>
      <w:lang w:val="en-GB"/>
    </w:rPr>
  </w:style>
  <w:style w:type="character" w:styleId="SubtleReference">
    <w:name w:val="Subtle Reference"/>
    <w:basedOn w:val="DefaultParagraphFont"/>
    <w:uiPriority w:val="31"/>
    <w:qFormat/>
    <w:rsid w:val="00C81852"/>
    <w:rPr>
      <w:smallCaps/>
      <w:color w:val="5A5A5A" w:themeColor="text1" w:themeTint="A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1852"/>
    <w:rPr>
      <w:rFonts w:ascii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1852"/>
    <w:rPr>
      <w:rFonts w:eastAsia="MS Minch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1852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81852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  <w:lang w:val="en-US"/>
    </w:rPr>
  </w:style>
  <w:style w:type="paragraph" w:customStyle="1" w:styleId="Default">
    <w:name w:val="Default"/>
    <w:rsid w:val="00C818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0">
    <w:name w:val="msonormal"/>
    <w:basedOn w:val="Normal"/>
    <w:rsid w:val="00C81852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paragraph">
    <w:name w:val="paragraph"/>
    <w:basedOn w:val="Normal"/>
    <w:rsid w:val="00C81852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textrun">
    <w:name w:val="textrun"/>
    <w:basedOn w:val="DefaultParagraphFont"/>
    <w:rsid w:val="00C81852"/>
  </w:style>
  <w:style w:type="character" w:customStyle="1" w:styleId="normaltextrun">
    <w:name w:val="normaltextrun"/>
    <w:basedOn w:val="DefaultParagraphFont"/>
    <w:rsid w:val="00C81852"/>
  </w:style>
  <w:style w:type="character" w:customStyle="1" w:styleId="eop">
    <w:name w:val="eop"/>
    <w:basedOn w:val="DefaultParagraphFont"/>
    <w:rsid w:val="00C81852"/>
  </w:style>
  <w:style w:type="character" w:styleId="Strong">
    <w:name w:val="Strong"/>
    <w:basedOn w:val="DefaultParagraphFont"/>
    <w:uiPriority w:val="22"/>
    <w:qFormat/>
    <w:rsid w:val="00C81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0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prizren.rks-gov.net/news/njoftim-per-mbajtjen-e-takimit-te-dyte-publik-te-kryetarit-te-komunes-se-prizrenit-shaqir-totaj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onsultimet.rks-gov.net/viewConsult.php?ConsultationID=4295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hare/p/1XQdThXc1F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TVBESA/videos/888040613687092" TargetMode="External"/><Relationship Id="rId10" Type="http://schemas.openxmlformats.org/officeDocument/2006/relationships/hyperlink" Target="https://prizren.rks-gov.net/wp-content/uploads/2025/12/Njoftim-per-mbajtjen-e-TAKIMIT-TE-DYTE-publik-me-qytetar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prizren.rks-gov.net/news/takimi-i-dyte-publik-i-kryetarit-shaqir-totaj-me-qytetaret-per-vitin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47A4F-484F-42FF-B8F6-1D914DB5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17</cp:revision>
  <cp:lastPrinted>2025-01-09T14:50:00Z</cp:lastPrinted>
  <dcterms:created xsi:type="dcterms:W3CDTF">2025-01-09T14:54:00Z</dcterms:created>
  <dcterms:modified xsi:type="dcterms:W3CDTF">2026-01-12T14:34:00Z</dcterms:modified>
</cp:coreProperties>
</file>